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jc w:val="both"/>
      </w:pPr>
      <w:r>
        <w:rPr>
          <w:rFonts w:ascii="Inter" w:hAnsi="Inter"/>
          <w:b/>
          <w:color w:val="2D5644"/>
          <w:sz w:val="44"/>
        </w:rPr>
        <w:t>LOWOCA Governance Package Overview &amp; Index</w:t>
      </w:r>
    </w:p>
    <w:p>
      <w:pPr>
        <w:spacing w:after="240"/>
        <w:jc w:val="both"/>
      </w:pPr>
      <w:r>
        <w:rPr>
          <w:rFonts w:ascii="Inter" w:hAnsi="Inter"/>
          <w:color w:val="646464"/>
          <w:sz w:val="24"/>
        </w:rPr>
        <w:t>Foundation for Board Operations • Board Review Package</w:t>
      </w:r>
    </w:p>
    <w:p>
      <w:pPr>
        <w:spacing w:after="160"/>
        <w:jc w:val="both"/>
      </w:pPr>
      <w:r>
        <w:rPr>
          <w:rFonts w:ascii="Inter" w:hAnsi="Inter"/>
          <w:color w:val="2D2D2D"/>
          <w:sz w:val="24"/>
        </w:rPr>
        <w:t>This governance package establishes the foundational framework for how the Board of Directors conducts Association business. The documents work together to define governance expectations, administrative procedures, delegated authority, financial controls, compliance processes, community standards, and committee responsibilities.</w:t>
      </w:r>
    </w:p>
    <w:p>
      <w:pPr>
        <w:spacing w:after="200"/>
        <w:jc w:val="both"/>
      </w:pPr>
      <w:r>
        <w:rPr>
          <w:rFonts w:ascii="Inter" w:hAnsi="Inter"/>
          <w:color w:val="2D2D2D"/>
          <w:sz w:val="24"/>
        </w:rPr>
        <w:t>Because many day-to-day decisions, procedures, and management activities build upon or reference these documents, maintaining a clear and consistently understood governance framework supports continuity, accountability, and more consistent Association operations.</w:t>
      </w:r>
    </w:p>
    <w:p>
      <w:pPr>
        <w:spacing w:before="160" w:after="100"/>
      </w:pPr>
      <w:r>
        <w:rPr>
          <w:rFonts w:ascii="Inter" w:hAnsi="Inter"/>
          <w:b/>
          <w:color w:val="2D5644"/>
          <w:sz w:val="24"/>
        </w:rPr>
        <w:t>HOW THE PACKAGE IS ORGANIZED</w:t>
      </w:r>
    </w:p>
    <w:p>
      <w:pPr>
        <w:spacing w:after="200"/>
        <w:jc w:val="both"/>
      </w:pPr>
      <w:r>
        <w:rPr>
          <w:rFonts w:ascii="Inter" w:hAnsi="Inter"/>
          <w:color w:val="2D2D2D"/>
          <w:sz w:val="24"/>
        </w:rPr>
        <w:t>The documents are arranged in a logical sequence: Board governance and administration; management, delegation, and communications; financial administration; compliance and community standards; and committee charters. Document 03 is an administrative reference guide. The remaining policies, procedures, standards, resolutions, and charters become effective only through appropriate Board action.</w:t>
      </w:r>
    </w:p>
    <w:p>
      <w:pPr>
        <w:spacing w:before="160" w:after="100"/>
      </w:pPr>
      <w:r>
        <w:rPr>
          <w:rFonts w:ascii="Inter" w:hAnsi="Inter"/>
          <w:b/>
          <w:color w:val="2D5644"/>
          <w:sz w:val="24"/>
        </w:rPr>
        <w:t>BOARD GOVERNANCE &amp; ADMINISTRATION</w:t>
      </w:r>
    </w:p>
    <w:tbl>
      <w:tblPr>
        <w:tblW w:type="auto" w:w="0"/>
        <w:jc w:val="center"/>
        <w:tblLayout w:type="fixed"/>
        <w:tblLook w:firstColumn="1" w:firstRow="1" w:lastColumn="0" w:lastRow="0" w:noHBand="0" w:noVBand="1" w:val="04A0"/>
      </w:tblPr>
      <w:tblGrid>
        <w:gridCol w:w="3312"/>
        <w:gridCol w:w="3312"/>
        <w:gridCol w:w="3312"/>
      </w:tblGrid>
      <w:tr>
        <w:trPr>
          <w:cantSplit/>
        </w:trPr>
        <w:tc>
          <w:tcPr>
            <w:tcW w:type="dxa" w:w="691"/>
            <w:shd w:fill="2D5644"/>
            <w:tcMar>
              <w:top w:w="80" w:type="dxa"/>
              <w:start w:w="100" w:type="dxa"/>
              <w:bottom w:w="80" w:type="dxa"/>
              <w:end w:w="100" w:type="dxa"/>
            </w:tcMar>
            <w:vAlign w:val="center"/>
          </w:tcPr>
          <w:p>
            <w:pPr>
              <w:spacing w:after="0"/>
              <w:jc w:val="left"/>
            </w:pPr>
            <w:r>
              <w:rPr>
                <w:rFonts w:ascii="Inter" w:hAnsi="Inter"/>
                <w:b/>
                <w:color w:val="FFFFFF"/>
                <w:sz w:val="24"/>
              </w:rPr>
              <w:t>#</w:t>
            </w:r>
          </w:p>
        </w:tc>
        <w:tc>
          <w:tcPr>
            <w:tcW w:type="dxa" w:w="3384"/>
            <w:shd w:fill="2D5644"/>
            <w:tcMar>
              <w:top w:w="80" w:type="dxa"/>
              <w:start w:w="100" w:type="dxa"/>
              <w:bottom w:w="80" w:type="dxa"/>
              <w:end w:w="100" w:type="dxa"/>
            </w:tcMar>
            <w:vAlign w:val="center"/>
          </w:tcPr>
          <w:p>
            <w:pPr>
              <w:spacing w:after="0"/>
              <w:jc w:val="left"/>
            </w:pPr>
            <w:r>
              <w:rPr>
                <w:rFonts w:ascii="Inter" w:hAnsi="Inter"/>
                <w:b/>
                <w:color w:val="FFFFFF"/>
                <w:sz w:val="24"/>
              </w:rPr>
              <w:t>Document</w:t>
            </w:r>
          </w:p>
        </w:tc>
        <w:tc>
          <w:tcPr>
            <w:tcW w:type="dxa" w:w="5760"/>
            <w:shd w:fill="2D5644"/>
            <w:tcMar>
              <w:top w:w="80" w:type="dxa"/>
              <w:start w:w="100" w:type="dxa"/>
              <w:bottom w:w="80" w:type="dxa"/>
              <w:end w:w="100" w:type="dxa"/>
            </w:tcMar>
            <w:vAlign w:val="center"/>
          </w:tcPr>
          <w:p>
            <w:pPr>
              <w:spacing w:after="0"/>
              <w:jc w:val="left"/>
            </w:pPr>
            <w:r>
              <w:rPr>
                <w:rFonts w:ascii="Inter" w:hAnsi="Inter"/>
                <w:b/>
                <w:color w:val="FFFFFF"/>
                <w:sz w:val="24"/>
              </w:rPr>
              <w:t>High-Level Purpose</w:t>
            </w:r>
          </w:p>
        </w:tc>
      </w:tr>
      <w:tr>
        <w:trPr>
          <w:cantSplit/>
        </w:trPr>
        <w:tc>
          <w:tcPr>
            <w:tcW w:type="dxa" w:w="691"/>
            <w:tcMar>
              <w:top w:w="85" w:type="dxa"/>
              <w:start w:w="100" w:type="dxa"/>
              <w:bottom w:w="85" w:type="dxa"/>
              <w:end w:w="100" w:type="dxa"/>
            </w:tcMar>
            <w:vAlign w:val="top"/>
          </w:tcPr>
          <w:p>
            <w:pPr>
              <w:spacing w:after="0"/>
              <w:jc w:val="left"/>
            </w:pPr>
            <w:r>
              <w:rPr>
                <w:rFonts w:ascii="Inter" w:hAnsi="Inter"/>
                <w:b/>
                <w:color w:val="2D2D2D"/>
                <w:sz w:val="24"/>
              </w:rPr>
              <w:t>01</w:t>
            </w:r>
          </w:p>
        </w:tc>
        <w:tc>
          <w:tcPr>
            <w:tcW w:type="dxa" w:w="3384"/>
            <w:tcMar>
              <w:top w:w="85" w:type="dxa"/>
              <w:start w:w="100" w:type="dxa"/>
              <w:bottom w:w="85" w:type="dxa"/>
              <w:end w:w="100" w:type="dxa"/>
            </w:tcMar>
            <w:vAlign w:val="top"/>
          </w:tcPr>
          <w:p>
            <w:pPr>
              <w:spacing w:after="0"/>
              <w:jc w:val="left"/>
            </w:pPr>
            <w:r>
              <w:rPr>
                <w:rFonts w:ascii="Inter" w:hAnsi="Inter"/>
                <w:b/>
                <w:color w:val="2D2D2D"/>
                <w:sz w:val="24"/>
              </w:rPr>
              <w:t>Board Governance Principles</w:t>
            </w:r>
          </w:p>
        </w:tc>
        <w:tc>
          <w:tcPr>
            <w:tcW w:type="dxa" w:w="5760"/>
            <w:tcMar>
              <w:top w:w="85" w:type="dxa"/>
              <w:start w:w="100" w:type="dxa"/>
              <w:bottom w:w="85" w:type="dxa"/>
              <w:end w:w="100" w:type="dxa"/>
            </w:tcMar>
            <w:vAlign w:val="top"/>
          </w:tcPr>
          <w:p>
            <w:pPr>
              <w:spacing w:after="0"/>
              <w:jc w:val="left"/>
            </w:pPr>
            <w:r>
              <w:rPr>
                <w:rFonts w:ascii="Inter" w:hAnsi="Inter"/>
                <w:color w:val="2D2D2D"/>
                <w:sz w:val="24"/>
              </w:rPr>
              <w:t>Establishes the overarching principles for responsible, consistent, and effective Board governance.</w:t>
            </w:r>
          </w:p>
        </w:tc>
      </w:tr>
      <w:tr>
        <w:trPr>
          <w:cantSplit/>
        </w:trPr>
        <w:tc>
          <w:tcPr>
            <w:tcW w:type="dxa" w:w="691"/>
            <w:tcMar>
              <w:top w:w="85" w:type="dxa"/>
              <w:start w:w="100" w:type="dxa"/>
              <w:bottom w:w="85" w:type="dxa"/>
              <w:end w:w="100" w:type="dxa"/>
            </w:tcMar>
            <w:vAlign w:val="top"/>
            <w:shd w:fill="F4F5F2"/>
          </w:tcPr>
          <w:p>
            <w:pPr>
              <w:spacing w:after="0"/>
              <w:jc w:val="left"/>
            </w:pPr>
            <w:r>
              <w:rPr>
                <w:rFonts w:ascii="Inter" w:hAnsi="Inter"/>
                <w:b/>
                <w:color w:val="2D2D2D"/>
                <w:sz w:val="24"/>
              </w:rPr>
              <w:t>02</w:t>
            </w:r>
          </w:p>
        </w:tc>
        <w:tc>
          <w:tcPr>
            <w:tcW w:type="dxa" w:w="3384"/>
            <w:tcMar>
              <w:top w:w="85" w:type="dxa"/>
              <w:start w:w="100" w:type="dxa"/>
              <w:bottom w:w="85" w:type="dxa"/>
              <w:end w:w="100" w:type="dxa"/>
            </w:tcMar>
            <w:vAlign w:val="top"/>
            <w:shd w:fill="F4F5F2"/>
          </w:tcPr>
          <w:p>
            <w:pPr>
              <w:spacing w:after="0"/>
              <w:jc w:val="left"/>
            </w:pPr>
            <w:r>
              <w:rPr>
                <w:rFonts w:ascii="Inter" w:hAnsi="Inter"/>
                <w:b/>
                <w:color w:val="2D2D2D"/>
                <w:sz w:val="24"/>
              </w:rPr>
              <w:t>Board Member Code of Conduct</w:t>
            </w:r>
          </w:p>
        </w:tc>
        <w:tc>
          <w:tcPr>
            <w:tcW w:type="dxa" w:w="5760"/>
            <w:tcMar>
              <w:top w:w="85" w:type="dxa"/>
              <w:start w:w="100" w:type="dxa"/>
              <w:bottom w:w="85" w:type="dxa"/>
              <w:end w:w="100" w:type="dxa"/>
            </w:tcMar>
            <w:vAlign w:val="top"/>
            <w:shd w:fill="F4F5F2"/>
          </w:tcPr>
          <w:p>
            <w:pPr>
              <w:spacing w:after="0"/>
              <w:jc w:val="left"/>
            </w:pPr>
            <w:r>
              <w:rPr>
                <w:rFonts w:ascii="Inter" w:hAnsi="Inter"/>
                <w:color w:val="2D2D2D"/>
                <w:sz w:val="24"/>
              </w:rPr>
              <w:t>Defines expectations for Director conduct, participation, confidentiality, conflicts of interest, and fiduciary responsibilities.</w:t>
            </w:r>
          </w:p>
        </w:tc>
      </w:tr>
      <w:tr>
        <w:trPr>
          <w:cantSplit/>
        </w:trPr>
        <w:tc>
          <w:tcPr>
            <w:tcW w:type="dxa" w:w="691"/>
            <w:tcMar>
              <w:top w:w="85" w:type="dxa"/>
              <w:start w:w="100" w:type="dxa"/>
              <w:bottom w:w="85" w:type="dxa"/>
              <w:end w:w="100" w:type="dxa"/>
            </w:tcMar>
            <w:vAlign w:val="top"/>
          </w:tcPr>
          <w:p>
            <w:pPr>
              <w:spacing w:after="0"/>
              <w:jc w:val="left"/>
            </w:pPr>
            <w:r>
              <w:rPr>
                <w:rFonts w:ascii="Inter" w:hAnsi="Inter"/>
                <w:b/>
                <w:color w:val="2D2D2D"/>
                <w:sz w:val="24"/>
              </w:rPr>
              <w:t>03</w:t>
            </w:r>
          </w:p>
        </w:tc>
        <w:tc>
          <w:tcPr>
            <w:tcW w:type="dxa" w:w="3384"/>
            <w:tcMar>
              <w:top w:w="85" w:type="dxa"/>
              <w:start w:w="100" w:type="dxa"/>
              <w:bottom w:w="85" w:type="dxa"/>
              <w:end w:w="100" w:type="dxa"/>
            </w:tcMar>
            <w:vAlign w:val="top"/>
          </w:tcPr>
          <w:p>
            <w:pPr>
              <w:spacing w:after="0"/>
              <w:jc w:val="left"/>
            </w:pPr>
            <w:r>
              <w:rPr>
                <w:rFonts w:ascii="Inter" w:hAnsi="Inter"/>
                <w:b/>
                <w:color w:val="2D2D2D"/>
                <w:sz w:val="24"/>
              </w:rPr>
              <w:t>Board Governance Reference Guide</w:t>
            </w:r>
          </w:p>
        </w:tc>
        <w:tc>
          <w:tcPr>
            <w:tcW w:type="dxa" w:w="5760"/>
            <w:tcMar>
              <w:top w:w="85" w:type="dxa"/>
              <w:start w:w="100" w:type="dxa"/>
              <w:bottom w:w="85" w:type="dxa"/>
              <w:end w:w="100" w:type="dxa"/>
            </w:tcMar>
            <w:vAlign w:val="top"/>
          </w:tcPr>
          <w:p>
            <w:pPr>
              <w:spacing w:after="0"/>
              <w:jc w:val="left"/>
            </w:pPr>
            <w:r>
              <w:rPr>
                <w:rFonts w:ascii="Inter" w:hAnsi="Inter"/>
                <w:color w:val="2D2D2D"/>
                <w:sz w:val="24"/>
              </w:rPr>
              <w:t>Provides an administrative reference to key governance requirements, authorities, and Board responsibilities; it is informational rather than an adopted policy.</w:t>
            </w:r>
          </w:p>
        </w:tc>
      </w:tr>
      <w:tr>
        <w:trPr>
          <w:cantSplit/>
        </w:trPr>
        <w:tc>
          <w:tcPr>
            <w:tcW w:type="dxa" w:w="691"/>
            <w:tcMar>
              <w:top w:w="85" w:type="dxa"/>
              <w:start w:w="100" w:type="dxa"/>
              <w:bottom w:w="85" w:type="dxa"/>
              <w:end w:w="100" w:type="dxa"/>
            </w:tcMar>
            <w:vAlign w:val="top"/>
            <w:shd w:fill="F4F5F2"/>
          </w:tcPr>
          <w:p>
            <w:pPr>
              <w:spacing w:after="0"/>
              <w:jc w:val="left"/>
            </w:pPr>
            <w:r>
              <w:rPr>
                <w:rFonts w:ascii="Inter" w:hAnsi="Inter"/>
                <w:b/>
                <w:color w:val="2D2D2D"/>
                <w:sz w:val="24"/>
              </w:rPr>
              <w:t>04</w:t>
            </w:r>
          </w:p>
        </w:tc>
        <w:tc>
          <w:tcPr>
            <w:tcW w:type="dxa" w:w="3384"/>
            <w:tcMar>
              <w:top w:w="85" w:type="dxa"/>
              <w:start w:w="100" w:type="dxa"/>
              <w:bottom w:w="85" w:type="dxa"/>
              <w:end w:w="100" w:type="dxa"/>
            </w:tcMar>
            <w:vAlign w:val="top"/>
            <w:shd w:fill="F4F5F2"/>
          </w:tcPr>
          <w:p>
            <w:pPr>
              <w:spacing w:after="0"/>
              <w:jc w:val="left"/>
            </w:pPr>
            <w:r>
              <w:rPr>
                <w:rFonts w:ascii="Inter" w:hAnsi="Inter"/>
                <w:b/>
                <w:color w:val="2D2D2D"/>
                <w:sz w:val="24"/>
              </w:rPr>
              <w:t>Board Meeting &amp; Administration Procedures</w:t>
            </w:r>
          </w:p>
        </w:tc>
        <w:tc>
          <w:tcPr>
            <w:tcW w:type="dxa" w:w="5760"/>
            <w:tcMar>
              <w:top w:w="85" w:type="dxa"/>
              <w:start w:w="100" w:type="dxa"/>
              <w:bottom w:w="85" w:type="dxa"/>
              <w:end w:w="100" w:type="dxa"/>
            </w:tcMar>
            <w:vAlign w:val="top"/>
            <w:shd w:fill="F4F5F2"/>
          </w:tcPr>
          <w:p>
            <w:pPr>
              <w:spacing w:after="0"/>
              <w:jc w:val="left"/>
            </w:pPr>
            <w:r>
              <w:rPr>
                <w:rFonts w:ascii="Inter" w:hAnsi="Inter"/>
                <w:color w:val="2D2D2D"/>
                <w:sz w:val="24"/>
              </w:rPr>
              <w:t>Establishes procedures for meetings, agendas, Board actions, minutes, executive sessions, records, and administrative coordination.</w:t>
            </w:r>
          </w:p>
        </w:tc>
      </w:tr>
    </w:tbl>
    <w:p>
      <w:pPr>
        <w:spacing w:after="20"/>
      </w:pPr>
    </w:p>
    <w:p>
      <w:pPr>
        <w:spacing w:before="160" w:after="100"/>
      </w:pPr>
      <w:r>
        <w:rPr>
          <w:rFonts w:ascii="Inter" w:hAnsi="Inter"/>
          <w:b/>
          <w:color w:val="2D5644"/>
          <w:sz w:val="24"/>
        </w:rPr>
        <w:t>MANAGEMENT, DELEGATION &amp; COMMUNICATIONS</w:t>
      </w:r>
    </w:p>
    <w:tbl>
      <w:tblPr>
        <w:tblW w:type="auto" w:w="0"/>
        <w:jc w:val="center"/>
        <w:tblLayout w:type="fixed"/>
        <w:tblLook w:firstColumn="1" w:firstRow="1" w:lastColumn="0" w:lastRow="0" w:noHBand="0" w:noVBand="1" w:val="04A0"/>
      </w:tblPr>
      <w:tblGrid>
        <w:gridCol w:w="3312"/>
        <w:gridCol w:w="3312"/>
        <w:gridCol w:w="3312"/>
      </w:tblGrid>
      <w:tr>
        <w:trPr>
          <w:cantSplit/>
        </w:trPr>
        <w:tc>
          <w:tcPr>
            <w:tcW w:type="dxa" w:w="691"/>
            <w:shd w:fill="2D5644"/>
            <w:tcMar>
              <w:top w:w="80" w:type="dxa"/>
              <w:start w:w="100" w:type="dxa"/>
              <w:bottom w:w="80" w:type="dxa"/>
              <w:end w:w="100" w:type="dxa"/>
            </w:tcMar>
            <w:vAlign w:val="center"/>
          </w:tcPr>
          <w:p>
            <w:pPr>
              <w:spacing w:after="0"/>
              <w:jc w:val="left"/>
            </w:pPr>
            <w:r>
              <w:rPr>
                <w:rFonts w:ascii="Inter" w:hAnsi="Inter"/>
                <w:b/>
                <w:color w:val="FFFFFF"/>
                <w:sz w:val="24"/>
              </w:rPr>
              <w:t>#</w:t>
            </w:r>
          </w:p>
        </w:tc>
        <w:tc>
          <w:tcPr>
            <w:tcW w:type="dxa" w:w="3384"/>
            <w:shd w:fill="2D5644"/>
            <w:tcMar>
              <w:top w:w="80" w:type="dxa"/>
              <w:start w:w="100" w:type="dxa"/>
              <w:bottom w:w="80" w:type="dxa"/>
              <w:end w:w="100" w:type="dxa"/>
            </w:tcMar>
            <w:vAlign w:val="center"/>
          </w:tcPr>
          <w:p>
            <w:pPr>
              <w:spacing w:after="0"/>
              <w:jc w:val="left"/>
            </w:pPr>
            <w:r>
              <w:rPr>
                <w:rFonts w:ascii="Inter" w:hAnsi="Inter"/>
                <w:b/>
                <w:color w:val="FFFFFF"/>
                <w:sz w:val="24"/>
              </w:rPr>
              <w:t>Document</w:t>
            </w:r>
          </w:p>
        </w:tc>
        <w:tc>
          <w:tcPr>
            <w:tcW w:type="dxa" w:w="5760"/>
            <w:shd w:fill="2D5644"/>
            <w:tcMar>
              <w:top w:w="80" w:type="dxa"/>
              <w:start w:w="100" w:type="dxa"/>
              <w:bottom w:w="80" w:type="dxa"/>
              <w:end w:w="100" w:type="dxa"/>
            </w:tcMar>
            <w:vAlign w:val="center"/>
          </w:tcPr>
          <w:p>
            <w:pPr>
              <w:spacing w:after="0"/>
              <w:jc w:val="left"/>
            </w:pPr>
            <w:r>
              <w:rPr>
                <w:rFonts w:ascii="Inter" w:hAnsi="Inter"/>
                <w:b/>
                <w:color w:val="FFFFFF"/>
                <w:sz w:val="24"/>
              </w:rPr>
              <w:t>High-Level Purpose</w:t>
            </w:r>
          </w:p>
        </w:tc>
      </w:tr>
      <w:tr>
        <w:trPr>
          <w:cantSplit/>
        </w:trPr>
        <w:tc>
          <w:tcPr>
            <w:tcW w:type="dxa" w:w="691"/>
            <w:tcMar>
              <w:top w:w="85" w:type="dxa"/>
              <w:start w:w="100" w:type="dxa"/>
              <w:bottom w:w="85" w:type="dxa"/>
              <w:end w:w="100" w:type="dxa"/>
            </w:tcMar>
            <w:vAlign w:val="top"/>
          </w:tcPr>
          <w:p>
            <w:pPr>
              <w:spacing w:after="0"/>
              <w:jc w:val="left"/>
            </w:pPr>
            <w:r>
              <w:rPr>
                <w:rFonts w:ascii="Inter" w:hAnsi="Inter"/>
                <w:b/>
                <w:color w:val="2D2D2D"/>
                <w:sz w:val="24"/>
              </w:rPr>
              <w:t>05</w:t>
            </w:r>
          </w:p>
        </w:tc>
        <w:tc>
          <w:tcPr>
            <w:tcW w:type="dxa" w:w="3384"/>
            <w:tcMar>
              <w:top w:w="85" w:type="dxa"/>
              <w:start w:w="100" w:type="dxa"/>
              <w:bottom w:w="85" w:type="dxa"/>
              <w:end w:w="100" w:type="dxa"/>
            </w:tcMar>
            <w:vAlign w:val="top"/>
          </w:tcPr>
          <w:p>
            <w:pPr>
              <w:spacing w:after="0"/>
              <w:jc w:val="left"/>
            </w:pPr>
            <w:r>
              <w:rPr>
                <w:rFonts w:ascii="Inter" w:hAnsi="Inter"/>
                <w:b/>
                <w:color w:val="2D2D2D"/>
                <w:sz w:val="24"/>
              </w:rPr>
              <w:t>Management, Committee &amp; Delegation Policy</w:t>
            </w:r>
          </w:p>
        </w:tc>
        <w:tc>
          <w:tcPr>
            <w:tcW w:type="dxa" w:w="5760"/>
            <w:tcMar>
              <w:top w:w="85" w:type="dxa"/>
              <w:start w:w="100" w:type="dxa"/>
              <w:bottom w:w="85" w:type="dxa"/>
              <w:end w:w="100" w:type="dxa"/>
            </w:tcMar>
            <w:vAlign w:val="top"/>
          </w:tcPr>
          <w:p>
            <w:pPr>
              <w:spacing w:after="0"/>
              <w:jc w:val="left"/>
            </w:pPr>
            <w:r>
              <w:rPr>
                <w:rFonts w:ascii="Inter" w:hAnsi="Inter"/>
                <w:color w:val="2D2D2D"/>
                <w:sz w:val="24"/>
              </w:rPr>
              <w:t>Defines the respective roles and authority of the Board, management, individual Directors, and committees, including how authority may be delegated.</w:t>
            </w:r>
          </w:p>
        </w:tc>
      </w:tr>
      <w:tr>
        <w:trPr>
          <w:cantSplit/>
        </w:trPr>
        <w:tc>
          <w:tcPr>
            <w:tcW w:type="dxa" w:w="691"/>
            <w:tcMar>
              <w:top w:w="85" w:type="dxa"/>
              <w:start w:w="100" w:type="dxa"/>
              <w:bottom w:w="85" w:type="dxa"/>
              <w:end w:w="100" w:type="dxa"/>
            </w:tcMar>
            <w:vAlign w:val="top"/>
            <w:shd w:fill="F4F5F2"/>
          </w:tcPr>
          <w:p>
            <w:pPr>
              <w:spacing w:after="0"/>
              <w:jc w:val="left"/>
            </w:pPr>
            <w:r>
              <w:rPr>
                <w:rFonts w:ascii="Inter" w:hAnsi="Inter"/>
                <w:b/>
                <w:color w:val="2D2D2D"/>
                <w:sz w:val="24"/>
              </w:rPr>
              <w:t>06</w:t>
            </w:r>
          </w:p>
        </w:tc>
        <w:tc>
          <w:tcPr>
            <w:tcW w:type="dxa" w:w="3384"/>
            <w:tcMar>
              <w:top w:w="85" w:type="dxa"/>
              <w:start w:w="100" w:type="dxa"/>
              <w:bottom w:w="85" w:type="dxa"/>
              <w:end w:w="100" w:type="dxa"/>
            </w:tcMar>
            <w:vAlign w:val="top"/>
            <w:shd w:fill="F4F5F2"/>
          </w:tcPr>
          <w:p>
            <w:pPr>
              <w:spacing w:after="0"/>
              <w:jc w:val="left"/>
            </w:pPr>
            <w:r>
              <w:rPr>
                <w:rFonts w:ascii="Inter" w:hAnsi="Inter"/>
                <w:b/>
                <w:color w:val="2D2D2D"/>
                <w:sz w:val="24"/>
              </w:rPr>
              <w:t>Board &amp; Association Communications Policy</w:t>
            </w:r>
          </w:p>
        </w:tc>
        <w:tc>
          <w:tcPr>
            <w:tcW w:type="dxa" w:w="5760"/>
            <w:tcMar>
              <w:top w:w="85" w:type="dxa"/>
              <w:start w:w="100" w:type="dxa"/>
              <w:bottom w:w="85" w:type="dxa"/>
              <w:end w:w="100" w:type="dxa"/>
            </w:tcMar>
            <w:vAlign w:val="top"/>
            <w:shd w:fill="F4F5F2"/>
          </w:tcPr>
          <w:p>
            <w:pPr>
              <w:spacing w:after="0"/>
              <w:jc w:val="left"/>
            </w:pPr>
            <w:r>
              <w:rPr>
                <w:rFonts w:ascii="Inter" w:hAnsi="Inter"/>
                <w:color w:val="2D2D2D"/>
                <w:sz w:val="24"/>
              </w:rPr>
              <w:t>Establishes standards for Board, management, committee, vendor, and Association communications and the sharing of material information.</w:t>
            </w:r>
          </w:p>
        </w:tc>
      </w:tr>
      <w:tr>
        <w:trPr>
          <w:cantSplit/>
        </w:trPr>
        <w:tc>
          <w:tcPr>
            <w:tcW w:type="dxa" w:w="691"/>
            <w:tcMar>
              <w:top w:w="85" w:type="dxa"/>
              <w:start w:w="100" w:type="dxa"/>
              <w:bottom w:w="85" w:type="dxa"/>
              <w:end w:w="100" w:type="dxa"/>
            </w:tcMar>
            <w:vAlign w:val="top"/>
          </w:tcPr>
          <w:p>
            <w:pPr>
              <w:spacing w:after="0"/>
              <w:jc w:val="left"/>
            </w:pPr>
            <w:r>
              <w:rPr>
                <w:rFonts w:ascii="Inter" w:hAnsi="Inter"/>
                <w:b/>
                <w:color w:val="2D2D2D"/>
                <w:sz w:val="24"/>
              </w:rPr>
              <w:t>07</w:t>
            </w:r>
          </w:p>
        </w:tc>
        <w:tc>
          <w:tcPr>
            <w:tcW w:type="dxa" w:w="3384"/>
            <w:tcMar>
              <w:top w:w="85" w:type="dxa"/>
              <w:start w:w="100" w:type="dxa"/>
              <w:bottom w:w="85" w:type="dxa"/>
              <w:end w:w="100" w:type="dxa"/>
            </w:tcMar>
            <w:vAlign w:val="top"/>
          </w:tcPr>
          <w:p>
            <w:pPr>
              <w:spacing w:after="0"/>
              <w:jc w:val="left"/>
            </w:pPr>
            <w:r>
              <w:rPr>
                <w:rFonts w:ascii="Inter" w:hAnsi="Inter"/>
                <w:b/>
                <w:color w:val="2D2D2D"/>
                <w:sz w:val="24"/>
              </w:rPr>
              <w:t>Emergency, Transition &amp; Governance Administration Policy</w:t>
            </w:r>
          </w:p>
        </w:tc>
        <w:tc>
          <w:tcPr>
            <w:tcW w:type="dxa" w:w="5760"/>
            <w:tcMar>
              <w:top w:w="85" w:type="dxa"/>
              <w:start w:w="100" w:type="dxa"/>
              <w:bottom w:w="85" w:type="dxa"/>
              <w:end w:w="100" w:type="dxa"/>
            </w:tcMar>
            <w:vAlign w:val="top"/>
          </w:tcPr>
          <w:p>
            <w:pPr>
              <w:spacing w:after="0"/>
              <w:jc w:val="left"/>
            </w:pPr>
            <w:r>
              <w:rPr>
                <w:rFonts w:ascii="Inter" w:hAnsi="Inter"/>
                <w:color w:val="2D2D2D"/>
                <w:sz w:val="24"/>
              </w:rPr>
              <w:t>Provides continuity and administrative procedures for emergencies, management transitions, and other circumstances requiring temporary or special governance coordination.</w:t>
            </w:r>
          </w:p>
        </w:tc>
      </w:tr>
    </w:tbl>
    <w:p>
      <w:pPr>
        <w:spacing w:after="20"/>
      </w:pPr>
    </w:p>
    <w:p>
      <w:pPr>
        <w:spacing w:before="160" w:after="100"/>
      </w:pPr>
      <w:r>
        <w:rPr>
          <w:rFonts w:ascii="Inter" w:hAnsi="Inter"/>
          <w:b/>
          <w:color w:val="2D5644"/>
          <w:sz w:val="24"/>
        </w:rPr>
        <w:t>FINANCIAL ADMINISTRATION</w:t>
      </w:r>
    </w:p>
    <w:tbl>
      <w:tblPr>
        <w:tblW w:type="auto" w:w="0"/>
        <w:jc w:val="center"/>
        <w:tblLayout w:type="fixed"/>
        <w:tblLook w:firstColumn="1" w:firstRow="1" w:lastColumn="0" w:lastRow="0" w:noHBand="0" w:noVBand="1" w:val="04A0"/>
      </w:tblPr>
      <w:tblGrid>
        <w:gridCol w:w="3312"/>
        <w:gridCol w:w="3312"/>
        <w:gridCol w:w="3312"/>
      </w:tblGrid>
      <w:tr>
        <w:trPr>
          <w:cantSplit/>
        </w:trPr>
        <w:tc>
          <w:tcPr>
            <w:tcW w:type="dxa" w:w="691"/>
            <w:shd w:fill="2D5644"/>
            <w:tcMar>
              <w:top w:w="80" w:type="dxa"/>
              <w:start w:w="100" w:type="dxa"/>
              <w:bottom w:w="80" w:type="dxa"/>
              <w:end w:w="100" w:type="dxa"/>
            </w:tcMar>
            <w:vAlign w:val="center"/>
          </w:tcPr>
          <w:p>
            <w:pPr>
              <w:spacing w:after="0"/>
              <w:jc w:val="left"/>
            </w:pPr>
            <w:r>
              <w:rPr>
                <w:rFonts w:ascii="Inter" w:hAnsi="Inter"/>
                <w:b/>
                <w:color w:val="FFFFFF"/>
                <w:sz w:val="24"/>
              </w:rPr>
              <w:t>#</w:t>
            </w:r>
          </w:p>
        </w:tc>
        <w:tc>
          <w:tcPr>
            <w:tcW w:type="dxa" w:w="3384"/>
            <w:shd w:fill="2D5644"/>
            <w:tcMar>
              <w:top w:w="80" w:type="dxa"/>
              <w:start w:w="100" w:type="dxa"/>
              <w:bottom w:w="80" w:type="dxa"/>
              <w:end w:w="100" w:type="dxa"/>
            </w:tcMar>
            <w:vAlign w:val="center"/>
          </w:tcPr>
          <w:p>
            <w:pPr>
              <w:spacing w:after="0"/>
              <w:jc w:val="left"/>
            </w:pPr>
            <w:r>
              <w:rPr>
                <w:rFonts w:ascii="Inter" w:hAnsi="Inter"/>
                <w:b/>
                <w:color w:val="FFFFFF"/>
                <w:sz w:val="24"/>
              </w:rPr>
              <w:t>Document</w:t>
            </w:r>
          </w:p>
        </w:tc>
        <w:tc>
          <w:tcPr>
            <w:tcW w:type="dxa" w:w="5760"/>
            <w:shd w:fill="2D5644"/>
            <w:tcMar>
              <w:top w:w="80" w:type="dxa"/>
              <w:start w:w="100" w:type="dxa"/>
              <w:bottom w:w="80" w:type="dxa"/>
              <w:end w:w="100" w:type="dxa"/>
            </w:tcMar>
            <w:vAlign w:val="center"/>
          </w:tcPr>
          <w:p>
            <w:pPr>
              <w:spacing w:after="0"/>
              <w:jc w:val="left"/>
            </w:pPr>
            <w:r>
              <w:rPr>
                <w:rFonts w:ascii="Inter" w:hAnsi="Inter"/>
                <w:b/>
                <w:color w:val="FFFFFF"/>
                <w:sz w:val="24"/>
              </w:rPr>
              <w:t>High-Level Purpose</w:t>
            </w:r>
          </w:p>
        </w:tc>
      </w:tr>
      <w:tr>
        <w:trPr>
          <w:cantSplit/>
        </w:trPr>
        <w:tc>
          <w:tcPr>
            <w:tcW w:type="dxa" w:w="691"/>
            <w:tcMar>
              <w:top w:w="85" w:type="dxa"/>
              <w:start w:w="100" w:type="dxa"/>
              <w:bottom w:w="85" w:type="dxa"/>
              <w:end w:w="100" w:type="dxa"/>
            </w:tcMar>
            <w:vAlign w:val="top"/>
            <w:shd w:fill="F4F5F2"/>
          </w:tcPr>
          <w:p>
            <w:pPr>
              <w:spacing w:after="0"/>
              <w:jc w:val="left"/>
            </w:pPr>
            <w:r>
              <w:rPr>
                <w:rFonts w:ascii="Inter" w:hAnsi="Inter"/>
                <w:b/>
                <w:color w:val="2D2D2D"/>
                <w:sz w:val="24"/>
              </w:rPr>
              <w:t>08</w:t>
            </w:r>
          </w:p>
        </w:tc>
        <w:tc>
          <w:tcPr>
            <w:tcW w:type="dxa" w:w="3384"/>
            <w:tcMar>
              <w:top w:w="85" w:type="dxa"/>
              <w:start w:w="100" w:type="dxa"/>
              <w:bottom w:w="85" w:type="dxa"/>
              <w:end w:w="100" w:type="dxa"/>
            </w:tcMar>
            <w:vAlign w:val="top"/>
            <w:shd w:fill="F4F5F2"/>
          </w:tcPr>
          <w:p>
            <w:pPr>
              <w:spacing w:after="0"/>
              <w:jc w:val="left"/>
            </w:pPr>
            <w:r>
              <w:rPr>
                <w:rFonts w:ascii="Inter" w:hAnsi="Inter"/>
                <w:b/>
                <w:color w:val="2D2D2D"/>
                <w:sz w:val="24"/>
              </w:rPr>
              <w:t>Financial Controls, Purchasing &amp; Payment Policy</w:t>
            </w:r>
          </w:p>
        </w:tc>
        <w:tc>
          <w:tcPr>
            <w:tcW w:type="dxa" w:w="5760"/>
            <w:tcMar>
              <w:top w:w="85" w:type="dxa"/>
              <w:start w:w="100" w:type="dxa"/>
              <w:bottom w:w="85" w:type="dxa"/>
              <w:end w:w="100" w:type="dxa"/>
            </w:tcMar>
            <w:vAlign w:val="top"/>
            <w:shd w:fill="F4F5F2"/>
          </w:tcPr>
          <w:p>
            <w:pPr>
              <w:spacing w:after="0"/>
              <w:jc w:val="left"/>
            </w:pPr>
            <w:r>
              <w:rPr>
                <w:rFonts w:ascii="Inter" w:hAnsi="Inter"/>
                <w:color w:val="2D2D2D"/>
                <w:sz w:val="24"/>
              </w:rPr>
              <w:t>Establishes controls for Association spending, purchasing, contracting, approvals, documentation, and payment processing.</w:t>
            </w:r>
          </w:p>
        </w:tc>
      </w:tr>
      <w:tr>
        <w:trPr>
          <w:cantSplit/>
        </w:trPr>
        <w:tc>
          <w:tcPr>
            <w:tcW w:type="dxa" w:w="691"/>
            <w:tcMar>
              <w:top w:w="85" w:type="dxa"/>
              <w:start w:w="100" w:type="dxa"/>
              <w:bottom w:w="85" w:type="dxa"/>
              <w:end w:w="100" w:type="dxa"/>
            </w:tcMar>
            <w:vAlign w:val="top"/>
          </w:tcPr>
          <w:p>
            <w:pPr>
              <w:spacing w:after="0"/>
              <w:jc w:val="left"/>
            </w:pPr>
            <w:r>
              <w:rPr>
                <w:rFonts w:ascii="Inter" w:hAnsi="Inter"/>
                <w:b/>
                <w:color w:val="2D2D2D"/>
                <w:sz w:val="24"/>
              </w:rPr>
              <w:t>09</w:t>
            </w:r>
          </w:p>
        </w:tc>
        <w:tc>
          <w:tcPr>
            <w:tcW w:type="dxa" w:w="3384"/>
            <w:tcMar>
              <w:top w:w="85" w:type="dxa"/>
              <w:start w:w="100" w:type="dxa"/>
              <w:bottom w:w="85" w:type="dxa"/>
              <w:end w:w="100" w:type="dxa"/>
            </w:tcMar>
            <w:vAlign w:val="top"/>
          </w:tcPr>
          <w:p>
            <w:pPr>
              <w:spacing w:after="0"/>
              <w:jc w:val="left"/>
            </w:pPr>
            <w:r>
              <w:rPr>
                <w:rFonts w:ascii="Inter" w:hAnsi="Inter"/>
                <w:b/>
                <w:color w:val="2D2D2D"/>
                <w:sz w:val="24"/>
              </w:rPr>
              <w:t>Reimbursement Request &amp; Processing Policy</w:t>
            </w:r>
          </w:p>
        </w:tc>
        <w:tc>
          <w:tcPr>
            <w:tcW w:type="dxa" w:w="5760"/>
            <w:tcMar>
              <w:top w:w="85" w:type="dxa"/>
              <w:start w:w="100" w:type="dxa"/>
              <w:bottom w:w="85" w:type="dxa"/>
              <w:end w:w="100" w:type="dxa"/>
            </w:tcMar>
            <w:vAlign w:val="top"/>
          </w:tcPr>
          <w:p>
            <w:pPr>
              <w:spacing w:after="0"/>
              <w:jc w:val="left"/>
            </w:pPr>
            <w:r>
              <w:rPr>
                <w:rFonts w:ascii="Inter" w:hAnsi="Inter"/>
                <w:color w:val="2D2D2D"/>
                <w:sz w:val="24"/>
              </w:rPr>
              <w:t>Establishes documentation, approval, review, and processing requirements for reimbursement of authorized Association expenses.</w:t>
            </w:r>
          </w:p>
        </w:tc>
      </w:tr>
    </w:tbl>
    <w:p>
      <w:pPr>
        <w:spacing w:after="20"/>
      </w:pPr>
    </w:p>
    <w:p>
      <w:pPr>
        <w:spacing w:before="160" w:after="100"/>
      </w:pPr>
      <w:r>
        <w:rPr>
          <w:rFonts w:ascii="Inter" w:hAnsi="Inter"/>
          <w:b/>
          <w:color w:val="2D5644"/>
          <w:sz w:val="24"/>
        </w:rPr>
        <w:t>COMPLIANCE &amp; COMMUNITY STANDARDS</w:t>
      </w:r>
    </w:p>
    <w:tbl>
      <w:tblPr>
        <w:tblW w:type="auto" w:w="0"/>
        <w:jc w:val="center"/>
        <w:tblLayout w:type="fixed"/>
        <w:tblLook w:firstColumn="1" w:firstRow="1" w:lastColumn="0" w:lastRow="0" w:noHBand="0" w:noVBand="1" w:val="04A0"/>
      </w:tblPr>
      <w:tblGrid>
        <w:gridCol w:w="3312"/>
        <w:gridCol w:w="3312"/>
        <w:gridCol w:w="3312"/>
      </w:tblGrid>
      <w:tr>
        <w:trPr>
          <w:cantSplit/>
        </w:trPr>
        <w:tc>
          <w:tcPr>
            <w:tcW w:type="dxa" w:w="691"/>
            <w:shd w:fill="2D5644"/>
            <w:tcMar>
              <w:top w:w="80" w:type="dxa"/>
              <w:start w:w="100" w:type="dxa"/>
              <w:bottom w:w="80" w:type="dxa"/>
              <w:end w:w="100" w:type="dxa"/>
            </w:tcMar>
            <w:vAlign w:val="center"/>
          </w:tcPr>
          <w:p>
            <w:pPr>
              <w:spacing w:after="0"/>
              <w:jc w:val="left"/>
            </w:pPr>
            <w:r>
              <w:rPr>
                <w:rFonts w:ascii="Inter" w:hAnsi="Inter"/>
                <w:b/>
                <w:color w:val="FFFFFF"/>
                <w:sz w:val="24"/>
              </w:rPr>
              <w:t>#</w:t>
            </w:r>
          </w:p>
        </w:tc>
        <w:tc>
          <w:tcPr>
            <w:tcW w:type="dxa" w:w="3384"/>
            <w:shd w:fill="2D5644"/>
            <w:tcMar>
              <w:top w:w="80" w:type="dxa"/>
              <w:start w:w="100" w:type="dxa"/>
              <w:bottom w:w="80" w:type="dxa"/>
              <w:end w:w="100" w:type="dxa"/>
            </w:tcMar>
            <w:vAlign w:val="center"/>
          </w:tcPr>
          <w:p>
            <w:pPr>
              <w:spacing w:after="0"/>
              <w:jc w:val="left"/>
            </w:pPr>
            <w:r>
              <w:rPr>
                <w:rFonts w:ascii="Inter" w:hAnsi="Inter"/>
                <w:b/>
                <w:color w:val="FFFFFF"/>
                <w:sz w:val="24"/>
              </w:rPr>
              <w:t>Document</w:t>
            </w:r>
          </w:p>
        </w:tc>
        <w:tc>
          <w:tcPr>
            <w:tcW w:type="dxa" w:w="5760"/>
            <w:shd w:fill="2D5644"/>
            <w:tcMar>
              <w:top w:w="80" w:type="dxa"/>
              <w:start w:w="100" w:type="dxa"/>
              <w:bottom w:w="80" w:type="dxa"/>
              <w:end w:w="100" w:type="dxa"/>
            </w:tcMar>
            <w:vAlign w:val="center"/>
          </w:tcPr>
          <w:p>
            <w:pPr>
              <w:spacing w:after="0"/>
              <w:jc w:val="left"/>
            </w:pPr>
            <w:r>
              <w:rPr>
                <w:rFonts w:ascii="Inter" w:hAnsi="Inter"/>
                <w:b/>
                <w:color w:val="FFFFFF"/>
                <w:sz w:val="24"/>
              </w:rPr>
              <w:t>High-Level Purpose</w:t>
            </w:r>
          </w:p>
        </w:tc>
      </w:tr>
      <w:tr>
        <w:trPr>
          <w:cantSplit/>
        </w:trPr>
        <w:tc>
          <w:tcPr>
            <w:tcW w:type="dxa" w:w="691"/>
            <w:tcMar>
              <w:top w:w="85" w:type="dxa"/>
              <w:start w:w="100" w:type="dxa"/>
              <w:bottom w:w="85" w:type="dxa"/>
              <w:end w:w="100" w:type="dxa"/>
            </w:tcMar>
            <w:vAlign w:val="top"/>
            <w:shd w:fill="F4F5F2"/>
          </w:tcPr>
          <w:p>
            <w:pPr>
              <w:spacing w:after="0"/>
              <w:jc w:val="left"/>
            </w:pPr>
            <w:r>
              <w:rPr>
                <w:rFonts w:ascii="Inter" w:hAnsi="Inter"/>
                <w:b/>
                <w:color w:val="2D2D2D"/>
                <w:sz w:val="24"/>
              </w:rPr>
              <w:t>10</w:t>
            </w:r>
          </w:p>
        </w:tc>
        <w:tc>
          <w:tcPr>
            <w:tcW w:type="dxa" w:w="3384"/>
            <w:tcMar>
              <w:top w:w="85" w:type="dxa"/>
              <w:start w:w="100" w:type="dxa"/>
              <w:bottom w:w="85" w:type="dxa"/>
              <w:end w:w="100" w:type="dxa"/>
            </w:tcMar>
            <w:vAlign w:val="top"/>
            <w:shd w:fill="F4F5F2"/>
          </w:tcPr>
          <w:p>
            <w:pPr>
              <w:spacing w:after="0"/>
              <w:jc w:val="left"/>
            </w:pPr>
            <w:r>
              <w:rPr>
                <w:rFonts w:ascii="Inter" w:hAnsi="Inter"/>
                <w:b/>
                <w:color w:val="2D2D2D"/>
                <w:sz w:val="24"/>
              </w:rPr>
              <w:t>Compliance &amp; Violation Enforcement Policy</w:t>
            </w:r>
          </w:p>
        </w:tc>
        <w:tc>
          <w:tcPr>
            <w:tcW w:type="dxa" w:w="5760"/>
            <w:tcMar>
              <w:top w:w="85" w:type="dxa"/>
              <w:start w:w="100" w:type="dxa"/>
              <w:bottom w:w="85" w:type="dxa"/>
              <w:end w:w="100" w:type="dxa"/>
            </w:tcMar>
            <w:vAlign w:val="top"/>
            <w:shd w:fill="F4F5F2"/>
          </w:tcPr>
          <w:p>
            <w:pPr>
              <w:spacing w:after="0"/>
              <w:jc w:val="left"/>
            </w:pPr>
            <w:r>
              <w:rPr>
                <w:rFonts w:ascii="Inter" w:hAnsi="Inter"/>
                <w:color w:val="2D2D2D"/>
                <w:sz w:val="24"/>
              </w:rPr>
              <w:t>Establishes the Association's process for compliance inspections, notices, cure opportunities, hearings, verification, and enforcement.</w:t>
            </w:r>
          </w:p>
        </w:tc>
      </w:tr>
      <w:tr>
        <w:trPr>
          <w:cantSplit/>
        </w:trPr>
        <w:tc>
          <w:tcPr>
            <w:tcW w:type="dxa" w:w="691"/>
            <w:tcMar>
              <w:top w:w="85" w:type="dxa"/>
              <w:start w:w="100" w:type="dxa"/>
              <w:bottom w:w="85" w:type="dxa"/>
              <w:end w:w="100" w:type="dxa"/>
            </w:tcMar>
            <w:vAlign w:val="top"/>
          </w:tcPr>
          <w:p>
            <w:pPr>
              <w:spacing w:after="0"/>
              <w:jc w:val="left"/>
            </w:pPr>
            <w:r>
              <w:rPr>
                <w:rFonts w:ascii="Inter" w:hAnsi="Inter"/>
                <w:b/>
                <w:color w:val="2D2D2D"/>
                <w:sz w:val="24"/>
              </w:rPr>
              <w:t>11</w:t>
            </w:r>
          </w:p>
        </w:tc>
        <w:tc>
          <w:tcPr>
            <w:tcW w:type="dxa" w:w="3384"/>
            <w:tcMar>
              <w:top w:w="85" w:type="dxa"/>
              <w:start w:w="100" w:type="dxa"/>
              <w:bottom w:w="85" w:type="dxa"/>
              <w:end w:w="100" w:type="dxa"/>
            </w:tcMar>
            <w:vAlign w:val="top"/>
          </w:tcPr>
          <w:p>
            <w:pPr>
              <w:spacing w:after="0"/>
              <w:jc w:val="left"/>
            </w:pPr>
            <w:r>
              <w:rPr>
                <w:rFonts w:ascii="Inter" w:hAnsi="Inter"/>
                <w:b/>
                <w:color w:val="2D2D2D"/>
                <w:sz w:val="24"/>
              </w:rPr>
              <w:t>Fine Schedule Resolution &amp; Policy</w:t>
            </w:r>
          </w:p>
        </w:tc>
        <w:tc>
          <w:tcPr>
            <w:tcW w:type="dxa" w:w="5760"/>
            <w:tcMar>
              <w:top w:w="85" w:type="dxa"/>
              <w:start w:w="100" w:type="dxa"/>
              <w:bottom w:w="85" w:type="dxa"/>
              <w:end w:w="100" w:type="dxa"/>
            </w:tcMar>
            <w:vAlign w:val="top"/>
          </w:tcPr>
          <w:p>
            <w:pPr>
              <w:spacing w:after="0"/>
              <w:jc w:val="left"/>
            </w:pPr>
            <w:r>
              <w:rPr>
                <w:rFonts w:ascii="Inter" w:hAnsi="Inter"/>
                <w:color w:val="2D2D2D"/>
                <w:sz w:val="24"/>
              </w:rPr>
              <w:t>Establishes the Board-approved framework for imposing and administering fines in connection with violations of the governing documents and adopted standards.</w:t>
            </w:r>
          </w:p>
        </w:tc>
      </w:tr>
      <w:tr>
        <w:trPr>
          <w:cantSplit/>
        </w:trPr>
        <w:tc>
          <w:tcPr>
            <w:tcW w:type="dxa" w:w="691"/>
            <w:tcMar>
              <w:top w:w="85" w:type="dxa"/>
              <w:start w:w="100" w:type="dxa"/>
              <w:bottom w:w="85" w:type="dxa"/>
              <w:end w:w="100" w:type="dxa"/>
            </w:tcMar>
            <w:vAlign w:val="top"/>
            <w:shd w:fill="F4F5F2"/>
          </w:tcPr>
          <w:p>
            <w:pPr>
              <w:spacing w:after="0"/>
              <w:jc w:val="left"/>
            </w:pPr>
            <w:r>
              <w:rPr>
                <w:rFonts w:ascii="Inter" w:hAnsi="Inter"/>
                <w:b/>
                <w:color w:val="2D2D2D"/>
                <w:sz w:val="24"/>
              </w:rPr>
              <w:t>12</w:t>
            </w:r>
          </w:p>
        </w:tc>
        <w:tc>
          <w:tcPr>
            <w:tcW w:type="dxa" w:w="3384"/>
            <w:tcMar>
              <w:top w:w="85" w:type="dxa"/>
              <w:start w:w="100" w:type="dxa"/>
              <w:bottom w:w="85" w:type="dxa"/>
              <w:end w:w="100" w:type="dxa"/>
            </w:tcMar>
            <w:vAlign w:val="top"/>
            <w:shd w:fill="F4F5F2"/>
          </w:tcPr>
          <w:p>
            <w:pPr>
              <w:spacing w:after="0"/>
              <w:jc w:val="left"/>
            </w:pPr>
            <w:r>
              <w:rPr>
                <w:rFonts w:ascii="Inter" w:hAnsi="Inter"/>
                <w:b/>
                <w:color w:val="2D2D2D"/>
                <w:sz w:val="24"/>
              </w:rPr>
              <w:t>General Property Maintenance &amp; Use Standards</w:t>
            </w:r>
          </w:p>
        </w:tc>
        <w:tc>
          <w:tcPr>
            <w:tcW w:type="dxa" w:w="5760"/>
            <w:tcMar>
              <w:top w:w="85" w:type="dxa"/>
              <w:start w:w="100" w:type="dxa"/>
              <w:bottom w:w="85" w:type="dxa"/>
              <w:end w:w="100" w:type="dxa"/>
            </w:tcMar>
            <w:vAlign w:val="top"/>
            <w:shd w:fill="F4F5F2"/>
          </w:tcPr>
          <w:p>
            <w:pPr>
              <w:spacing w:after="0"/>
              <w:jc w:val="left"/>
            </w:pPr>
            <w:r>
              <w:rPr>
                <w:rFonts w:ascii="Inter" w:hAnsi="Inter"/>
                <w:color w:val="2D2D2D"/>
                <w:sz w:val="24"/>
              </w:rPr>
              <w:t>Establishes community-wide expectations for property maintenance and use consistent with the Declaration and Community-Wide Standard.</w:t>
            </w:r>
          </w:p>
        </w:tc>
      </w:tr>
      <w:tr>
        <w:trPr>
          <w:cantSplit/>
        </w:trPr>
        <w:tc>
          <w:tcPr>
            <w:tcW w:type="dxa" w:w="691"/>
            <w:tcMar>
              <w:top w:w="85" w:type="dxa"/>
              <w:start w:w="100" w:type="dxa"/>
              <w:bottom w:w="85" w:type="dxa"/>
              <w:end w:w="100" w:type="dxa"/>
            </w:tcMar>
            <w:vAlign w:val="top"/>
          </w:tcPr>
          <w:p>
            <w:pPr>
              <w:spacing w:after="0"/>
              <w:jc w:val="left"/>
            </w:pPr>
            <w:r>
              <w:rPr>
                <w:rFonts w:ascii="Inter" w:hAnsi="Inter"/>
                <w:b/>
                <w:color w:val="2D2D2D"/>
                <w:sz w:val="24"/>
              </w:rPr>
              <w:t>13</w:t>
            </w:r>
          </w:p>
        </w:tc>
        <w:tc>
          <w:tcPr>
            <w:tcW w:type="dxa" w:w="3384"/>
            <w:tcMar>
              <w:top w:w="85" w:type="dxa"/>
              <w:start w:w="100" w:type="dxa"/>
              <w:bottom w:w="85" w:type="dxa"/>
              <w:end w:w="100" w:type="dxa"/>
            </w:tcMar>
            <w:vAlign w:val="top"/>
          </w:tcPr>
          <w:p>
            <w:pPr>
              <w:spacing w:after="0"/>
              <w:jc w:val="left"/>
            </w:pPr>
            <w:r>
              <w:rPr>
                <w:rFonts w:ascii="Inter" w:hAnsi="Inter"/>
                <w:b/>
                <w:color w:val="2D2D2D"/>
                <w:sz w:val="24"/>
              </w:rPr>
              <w:t>Landscape Maintenance &amp; Design Standards</w:t>
            </w:r>
          </w:p>
        </w:tc>
        <w:tc>
          <w:tcPr>
            <w:tcW w:type="dxa" w:w="5760"/>
            <w:tcMar>
              <w:top w:w="85" w:type="dxa"/>
              <w:start w:w="100" w:type="dxa"/>
              <w:bottom w:w="85" w:type="dxa"/>
              <w:end w:w="100" w:type="dxa"/>
            </w:tcMar>
            <w:vAlign w:val="top"/>
          </w:tcPr>
          <w:p>
            <w:pPr>
              <w:spacing w:after="0"/>
              <w:jc w:val="left"/>
            </w:pPr>
            <w:r>
              <w:rPr>
                <w:rFonts w:ascii="Inter" w:hAnsi="Inter"/>
                <w:color w:val="2D2D2D"/>
                <w:sz w:val="24"/>
              </w:rPr>
              <w:t>Establishes landscaping maintenance and appearance standards for turf, planting beds, shrubs, trees, and related landscape conditions.</w:t>
            </w:r>
          </w:p>
        </w:tc>
      </w:tr>
    </w:tbl>
    <w:p>
      <w:pPr>
        <w:spacing w:after="20"/>
      </w:pPr>
    </w:p>
    <w:p>
      <w:pPr>
        <w:spacing w:before="160" w:after="100"/>
      </w:pPr>
      <w:r>
        <w:rPr>
          <w:rFonts w:ascii="Inter" w:hAnsi="Inter"/>
          <w:b/>
          <w:color w:val="2D5644"/>
          <w:sz w:val="24"/>
        </w:rPr>
        <w:t>COMMITTEE CHARTERS</w:t>
      </w:r>
    </w:p>
    <w:tbl>
      <w:tblPr>
        <w:tblW w:type="auto" w:w="0"/>
        <w:jc w:val="center"/>
        <w:tblLayout w:type="fixed"/>
        <w:tblLook w:firstColumn="1" w:firstRow="1" w:lastColumn="0" w:lastRow="0" w:noHBand="0" w:noVBand="1" w:val="04A0"/>
      </w:tblPr>
      <w:tblGrid>
        <w:gridCol w:w="3312"/>
        <w:gridCol w:w="3312"/>
        <w:gridCol w:w="3312"/>
      </w:tblGrid>
      <w:tr>
        <w:trPr>
          <w:cantSplit/>
        </w:trPr>
        <w:tc>
          <w:tcPr>
            <w:tcW w:type="dxa" w:w="691"/>
            <w:shd w:fill="2D5644"/>
            <w:tcMar>
              <w:top w:w="80" w:type="dxa"/>
              <w:start w:w="100" w:type="dxa"/>
              <w:bottom w:w="80" w:type="dxa"/>
              <w:end w:w="100" w:type="dxa"/>
            </w:tcMar>
            <w:vAlign w:val="center"/>
          </w:tcPr>
          <w:p>
            <w:pPr>
              <w:spacing w:after="0"/>
              <w:jc w:val="left"/>
            </w:pPr>
            <w:r>
              <w:rPr>
                <w:rFonts w:ascii="Inter" w:hAnsi="Inter"/>
                <w:b/>
                <w:color w:val="FFFFFF"/>
                <w:sz w:val="24"/>
              </w:rPr>
              <w:t>#</w:t>
            </w:r>
          </w:p>
        </w:tc>
        <w:tc>
          <w:tcPr>
            <w:tcW w:type="dxa" w:w="3384"/>
            <w:shd w:fill="2D5644"/>
            <w:tcMar>
              <w:top w:w="80" w:type="dxa"/>
              <w:start w:w="100" w:type="dxa"/>
              <w:bottom w:w="80" w:type="dxa"/>
              <w:end w:w="100" w:type="dxa"/>
            </w:tcMar>
            <w:vAlign w:val="center"/>
          </w:tcPr>
          <w:p>
            <w:pPr>
              <w:spacing w:after="0"/>
              <w:jc w:val="left"/>
            </w:pPr>
            <w:r>
              <w:rPr>
                <w:rFonts w:ascii="Inter" w:hAnsi="Inter"/>
                <w:b/>
                <w:color w:val="FFFFFF"/>
                <w:sz w:val="24"/>
              </w:rPr>
              <w:t>Document</w:t>
            </w:r>
          </w:p>
        </w:tc>
        <w:tc>
          <w:tcPr>
            <w:tcW w:type="dxa" w:w="5760"/>
            <w:shd w:fill="2D5644"/>
            <w:tcMar>
              <w:top w:w="80" w:type="dxa"/>
              <w:start w:w="100" w:type="dxa"/>
              <w:bottom w:w="80" w:type="dxa"/>
              <w:end w:w="100" w:type="dxa"/>
            </w:tcMar>
            <w:vAlign w:val="center"/>
          </w:tcPr>
          <w:p>
            <w:pPr>
              <w:spacing w:after="0"/>
              <w:jc w:val="left"/>
            </w:pPr>
            <w:r>
              <w:rPr>
                <w:rFonts w:ascii="Inter" w:hAnsi="Inter"/>
                <w:b/>
                <w:color w:val="FFFFFF"/>
                <w:sz w:val="24"/>
              </w:rPr>
              <w:t>High-Level Purpose</w:t>
            </w:r>
          </w:p>
        </w:tc>
      </w:tr>
      <w:tr>
        <w:trPr>
          <w:cantSplit/>
        </w:trPr>
        <w:tc>
          <w:tcPr>
            <w:tcW w:type="dxa" w:w="691"/>
            <w:tcMar>
              <w:top w:w="85" w:type="dxa"/>
              <w:start w:w="100" w:type="dxa"/>
              <w:bottom w:w="85" w:type="dxa"/>
              <w:end w:w="100" w:type="dxa"/>
            </w:tcMar>
            <w:vAlign w:val="top"/>
            <w:shd w:fill="F4F5F2"/>
          </w:tcPr>
          <w:p>
            <w:pPr>
              <w:spacing w:after="0"/>
              <w:jc w:val="left"/>
            </w:pPr>
            <w:r>
              <w:rPr>
                <w:rFonts w:ascii="Inter" w:hAnsi="Inter"/>
                <w:b/>
                <w:color w:val="2D2D2D"/>
                <w:sz w:val="24"/>
              </w:rPr>
              <w:t>14</w:t>
            </w:r>
          </w:p>
        </w:tc>
        <w:tc>
          <w:tcPr>
            <w:tcW w:type="dxa" w:w="3384"/>
            <w:tcMar>
              <w:top w:w="85" w:type="dxa"/>
              <w:start w:w="100" w:type="dxa"/>
              <w:bottom w:w="85" w:type="dxa"/>
              <w:end w:w="100" w:type="dxa"/>
            </w:tcMar>
            <w:vAlign w:val="top"/>
            <w:shd w:fill="F4F5F2"/>
          </w:tcPr>
          <w:p>
            <w:pPr>
              <w:spacing w:after="0"/>
              <w:jc w:val="left"/>
            </w:pPr>
            <w:r>
              <w:rPr>
                <w:rFonts w:ascii="Inter" w:hAnsi="Inter"/>
                <w:b/>
                <w:color w:val="2D2D2D"/>
                <w:sz w:val="24"/>
              </w:rPr>
              <w:t>Landscaping Committee Charter</w:t>
            </w:r>
          </w:p>
        </w:tc>
        <w:tc>
          <w:tcPr>
            <w:tcW w:type="dxa" w:w="5760"/>
            <w:tcMar>
              <w:top w:w="85" w:type="dxa"/>
              <w:start w:w="100" w:type="dxa"/>
              <w:bottom w:w="85" w:type="dxa"/>
              <w:end w:w="100" w:type="dxa"/>
            </w:tcMar>
            <w:vAlign w:val="top"/>
            <w:shd w:fill="F4F5F2"/>
          </w:tcPr>
          <w:p>
            <w:pPr>
              <w:spacing w:after="0"/>
              <w:jc w:val="left"/>
            </w:pPr>
            <w:r>
              <w:rPr>
                <w:rFonts w:ascii="Inter" w:hAnsi="Inter"/>
                <w:color w:val="2D2D2D"/>
                <w:sz w:val="24"/>
              </w:rPr>
              <w:t>Defines the Landscaping Committee's purpose, responsibilities, delegated authority, limitations, reporting, and relationship to the Board and management.</w:t>
            </w:r>
          </w:p>
        </w:tc>
      </w:tr>
      <w:tr>
        <w:trPr>
          <w:cantSplit/>
        </w:trPr>
        <w:tc>
          <w:tcPr>
            <w:tcW w:type="dxa" w:w="691"/>
            <w:tcMar>
              <w:top w:w="85" w:type="dxa"/>
              <w:start w:w="100" w:type="dxa"/>
              <w:bottom w:w="85" w:type="dxa"/>
              <w:end w:w="100" w:type="dxa"/>
            </w:tcMar>
            <w:vAlign w:val="top"/>
          </w:tcPr>
          <w:p>
            <w:pPr>
              <w:spacing w:after="0"/>
              <w:jc w:val="left"/>
            </w:pPr>
            <w:r>
              <w:rPr>
                <w:rFonts w:ascii="Inter" w:hAnsi="Inter"/>
                <w:b/>
                <w:color w:val="2D2D2D"/>
                <w:sz w:val="24"/>
              </w:rPr>
              <w:t>15</w:t>
            </w:r>
          </w:p>
        </w:tc>
        <w:tc>
          <w:tcPr>
            <w:tcW w:type="dxa" w:w="3384"/>
            <w:tcMar>
              <w:top w:w="85" w:type="dxa"/>
              <w:start w:w="100" w:type="dxa"/>
              <w:bottom w:w="85" w:type="dxa"/>
              <w:end w:w="100" w:type="dxa"/>
            </w:tcMar>
            <w:vAlign w:val="top"/>
          </w:tcPr>
          <w:p>
            <w:pPr>
              <w:spacing w:after="0"/>
              <w:jc w:val="left"/>
            </w:pPr>
            <w:r>
              <w:rPr>
                <w:rFonts w:ascii="Inter" w:hAnsi="Inter"/>
                <w:b/>
                <w:color w:val="2D2D2D"/>
                <w:sz w:val="24"/>
              </w:rPr>
              <w:t>Welcome Committee Charter</w:t>
            </w:r>
          </w:p>
        </w:tc>
        <w:tc>
          <w:tcPr>
            <w:tcW w:type="dxa" w:w="5760"/>
            <w:tcMar>
              <w:top w:w="85" w:type="dxa"/>
              <w:start w:w="100" w:type="dxa"/>
              <w:bottom w:w="85" w:type="dxa"/>
              <w:end w:w="100" w:type="dxa"/>
            </w:tcMar>
            <w:vAlign w:val="top"/>
          </w:tcPr>
          <w:p>
            <w:pPr>
              <w:spacing w:after="0"/>
              <w:jc w:val="left"/>
            </w:pPr>
            <w:r>
              <w:rPr>
                <w:rFonts w:ascii="Inter" w:hAnsi="Inter"/>
                <w:color w:val="2D2D2D"/>
                <w:sz w:val="24"/>
              </w:rPr>
              <w:t>Defines the Welcome Committee's role in welcoming new homeowners, coordinating volunteers, and providing Board-approved Association information and resources.</w:t>
            </w:r>
          </w:p>
        </w:tc>
      </w:tr>
    </w:tbl>
    <w:p>
      <w:pPr>
        <w:spacing w:after="20"/>
      </w:pPr>
    </w:p>
    <w:p>
      <w:pPr>
        <w:spacing w:before="160" w:after="100"/>
      </w:pPr>
      <w:r>
        <w:rPr>
          <w:rFonts w:ascii="Inter" w:hAnsi="Inter"/>
          <w:b/>
          <w:color w:val="2D5644"/>
          <w:sz w:val="24"/>
        </w:rPr>
        <w:t>BOARD REVIEW NOTE</w:t>
      </w:r>
    </w:p>
    <w:p>
      <w:pPr>
        <w:spacing w:after="0"/>
        <w:jc w:val="both"/>
      </w:pPr>
      <w:r>
        <w:rPr>
          <w:rFonts w:ascii="Inter" w:hAnsi="Inter"/>
          <w:color w:val="2D2D2D"/>
          <w:sz w:val="24"/>
        </w:rPr>
        <w:t>Board members should review the package as an integrated operating framework. Questions, proposed revisions, and items requiring additional research should be raised during the review period so that the Board can resolve routine matters before the meeting and reserve meeting discussion for significant or complex issues.</w:t>
      </w:r>
    </w:p>
    <w:sectPr w:rsidR="00FC693F" w:rsidRPr="0006063C" w:rsidSect="00034616">
      <w:headerReference w:type="default" r:id="rId9"/>
      <w:footerReference w:type="default" r:id="rId10"/>
      <w:pgSz w:w="12240" w:h="15840"/>
      <w:pgMar w:top="936" w:right="1152"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Inter" w:hAnsi="Inter" w:eastAsia="Inter"/>
        <w:b w:val="0"/>
        <w:i w:val="0"/>
        <w:color w:val="6D6A63"/>
        <w:sz w:val="24"/>
      </w:rPr>
      <w:t>Lakes of White Oak Community Association  •  Governance Document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10" w:space="4" w:color="C46F3C"/>
      </w:pBdr>
    </w:pPr>
    <w:r>
      <w:rPr>
        <w:rFonts w:ascii="Inter" w:hAnsi="Inter" w:eastAsia="Inter"/>
        <w:b/>
        <w:i w:val="0"/>
        <w:color w:val="24483B"/>
        <w:sz w:val="24"/>
      </w:rPr>
      <w:t>LAKES OF WHITE OAK COMMUNITY ASSOCIATION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Inter" w:hAnsi="Inter" w:eastAsia="Inter"/>
      <w:color w:val="292B29"/>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Inter" w:hAnsi="Inter"/>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Inter" w:hAnsi="Inter"/>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Inter" w:hAnsi="Inter"/>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Inter" w:hAnsi="Inter"/>
      <w:b/>
      <w:bCs/>
      <w:i/>
      <w:iCs/>
      <w:color w:val="4F81BD" w:themeColor="accent1"/>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Inter" w:hAnsi="Inter"/>
      <w:color w:val="243F60" w:themeColor="accent1" w:themeShade="7F"/>
      <w:sz w:val="24"/>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Inter" w:hAnsi="Inter"/>
      <w:i/>
      <w:iCs/>
      <w:color w:val="243F60" w:themeColor="accent1" w:themeShade="7F"/>
      <w:sz w:val="24"/>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Inter" w:hAnsi="Inter"/>
      <w:i/>
      <w:iCs/>
      <w:color w:val="404040" w:themeColor="text1" w:themeTint="BF"/>
      <w:sz w:val="24"/>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Inter" w:hAnsi="Inter"/>
      <w:color w:val="4F81BD" w:themeColor="accent1"/>
      <w:sz w:val="24"/>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Inter" w:hAnsi="Inter"/>
      <w:i/>
      <w:iCs/>
      <w:color w:val="404040" w:themeColor="text1" w:themeTint="BF"/>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Inter" w:hAnsi="Inter"/>
      <w:sz w:val="24"/>
    </w:rPr>
  </w:style>
  <w:style w:type="paragraph" w:styleId="BodyText">
    <w:name w:val="Body Text"/>
    <w:basedOn w:val="Normal"/>
    <w:link w:val="BodyTextChar"/>
    <w:uiPriority w:val="99"/>
    <w:unhideWhenUsed/>
    <w:rsid w:val="00AA1D8D"/>
    <w:pPr>
      <w:spacing w:after="120"/>
    </w:pPr>
    <w:rPr>
      <w:rFonts w:ascii="Inter" w:hAnsi="Inter"/>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24"/>
      <w:szCs w:val="16"/>
    </w:rPr>
  </w:style>
  <w:style w:type="character" w:customStyle="1" w:styleId="BodyText3Char">
    <w:name w:val="Body Text 3 Char"/>
    <w:basedOn w:val="DefaultParagraphFont"/>
    <w:link w:val="BodyText3"/>
    <w:uiPriority w:val="99"/>
    <w:rsid w:val="00AA1D8D"/>
    <w:rPr>
      <w:sz w:val="24"/>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4"/>
      <w:szCs w:val="20"/>
    </w:rPr>
  </w:style>
  <w:style w:type="character" w:customStyle="1" w:styleId="MacroTextChar">
    <w:name w:val="Macro Text Char"/>
    <w:basedOn w:val="DefaultParagraphFont"/>
    <w:link w:val="MacroText"/>
    <w:uiPriority w:val="99"/>
    <w:rsid w:val="0029639D"/>
    <w:rPr>
      <w:rFonts w:ascii="Courier" w:hAnsi="Courier"/>
      <w:sz w:val="24"/>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4"/>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4"/>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24"/>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Inter" w:hAnsi="Inte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