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100"/>
        <w:jc w:val="both"/>
      </w:pPr>
      <w:r>
        <w:rPr>
          <w:rFonts w:ascii="Inter" w:hAnsi="Inter" w:eastAsia="Inter"/>
          <w:b/>
          <w:i w:val="0"/>
          <w:color w:val="24483B"/>
          <w:sz w:val="44"/>
        </w:rPr>
        <w:t>Board Governance Principles</w:t>
      </w:r>
    </w:p>
    <w:p>
      <w:pPr>
        <w:spacing w:after="60"/>
        <w:jc w:val="both"/>
      </w:pPr>
      <w:r>
        <w:rPr>
          <w:rFonts w:ascii="Inter" w:hAnsi="Inter" w:eastAsia="Inter"/>
          <w:b w:val="0"/>
          <w:i w:val="0"/>
          <w:color w:val="7A5943"/>
          <w:sz w:val="24"/>
        </w:rPr>
        <w:t>Governance Principles  •  Draft Updated August 2026</w:t>
      </w:r>
    </w:p>
    <w:p>
      <w:pPr>
        <w:spacing w:after="180"/>
        <w:pBdr>
          <w:bottom w:val="single" w:sz="6" w:space="4" w:color="E6E1D8"/>
        </w:pBdr>
        <w:jc w:val="both"/>
      </w:pPr>
      <w:r>
        <w:rPr>
          <w:rFonts w:ascii="Inter" w:hAnsi="Inter" w:eastAsia="Inter"/>
          <w:b w:val="0"/>
          <w:i w:val="0"/>
          <w:color w:val="4E514D"/>
          <w:sz w:val="24"/>
        </w:rPr>
        <w:t>Fundamental principles to guide consistent, informed, and community-centered Board governance.</w:t>
      </w:r>
    </w:p>
    <w:p>
      <w:pPr>
        <w:spacing w:before="200" w:after="100" w:line="259" w:lineRule="auto"/>
        <w:pBdr>
          <w:bottom w:val="single" w:sz="5" w:space="4" w:color="E6E1D8"/>
        </w:pBdr>
      </w:pPr>
      <w:r>
        <w:rPr>
          <w:rFonts w:ascii="Inter" w:hAnsi="Inter" w:eastAsia="Inter"/>
          <w:b/>
          <w:i w:val="0"/>
          <w:color w:val="24483B"/>
          <w:sz w:val="24"/>
        </w:rPr>
        <w:t>PURPOSE</w:t>
      </w:r>
    </w:p>
    <w:p>
      <w:pPr>
        <w:spacing w:after="100" w:line="259" w:lineRule="auto"/>
        <w:jc w:val="both"/>
      </w:pPr>
      <w:r>
        <w:rPr>
          <w:rFonts w:ascii="Inter" w:hAnsi="Inter" w:eastAsia="Inter"/>
          <w:b w:val="0"/>
          <w:i w:val="0"/>
          <w:color w:val="292B29"/>
          <w:sz w:val="24"/>
        </w:rPr>
        <w:t>This document summarizes fundamental governance principles established by the Declaration of Covenants, Conditions and Restrictions, the Bylaws, and applicable Georgia law. It is intended to provide a common understanding for Directors, management, committee members, and future Boards regarding the Board's role and responsibilities. These principles do not replace or amend controlling authority.</w:t>
      </w:r>
    </w:p>
    <w:p>
      <w:pPr>
        <w:spacing w:before="260" w:after="100"/>
        <w:pBdr>
          <w:bottom w:val="single" w:sz="5" w:space="4" w:color="E6E1D8"/>
        </w:pBdr>
      </w:pPr>
      <w:r>
        <w:rPr>
          <w:rFonts w:ascii="Inter" w:hAnsi="Inter" w:eastAsia="Inter"/>
          <w:b/>
          <w:i w:val="0"/>
          <w:color w:val="24483B"/>
          <w:sz w:val="28"/>
        </w:rPr>
        <w:t>GOVERNANCE MISSION</w:t>
      </w:r>
    </w:p>
    <w:p>
      <w:pPr>
        <w:spacing w:after="100" w:line="259" w:lineRule="auto"/>
        <w:jc w:val="both"/>
      </w:pPr>
      <w:r>
        <w:rPr>
          <w:rFonts w:ascii="Inter" w:hAnsi="Inter" w:eastAsia="Inter"/>
          <w:b w:val="0"/>
          <w:i w:val="0"/>
          <w:color w:val="292B29"/>
          <w:sz w:val="24"/>
        </w:rPr>
        <w:t>The Board of Directors governs the Association on behalf of all Members by managing the Association's affairs, maintaining and protecting common property and Association assets, establishing and enforcing community standards, exercising sound financial stewardship, and making decisions that benefit the Owners and the Community in accordance with the governing documents and applicable law.</w:t>
      </w:r>
    </w:p>
    <w:p>
      <w:pPr>
        <w:spacing w:before="260" w:after="100"/>
        <w:pBdr>
          <w:bottom w:val="single" w:sz="5" w:space="4" w:color="E6E1D8"/>
        </w:pBdr>
      </w:pPr>
      <w:r>
        <w:rPr>
          <w:rFonts w:ascii="Inter" w:hAnsi="Inter" w:eastAsia="Inter"/>
          <w:b/>
          <w:i w:val="0"/>
          <w:color w:val="24483B"/>
          <w:sz w:val="28"/>
        </w:rPr>
        <w:t>CORE GOVERNANCE PRINCIPLES</w:t>
      </w:r>
    </w:p>
    <w:p>
      <w:pPr>
        <w:spacing w:before="100" w:after="100" w:line="259" w:lineRule="auto"/>
      </w:pPr>
      <w:r>
        <w:rPr>
          <w:rFonts w:ascii="Inter" w:hAnsi="Inter" w:eastAsia="Inter"/>
          <w:b/>
          <w:i w:val="0"/>
          <w:color w:val="7A5943"/>
          <w:sz w:val="24"/>
        </w:rPr>
        <w:t>1. Govern in the Best Interest of the Entire Community</w:t>
      </w:r>
    </w:p>
    <w:p>
      <w:pPr>
        <w:spacing w:after="100" w:line="259" w:lineRule="auto"/>
        <w:jc w:val="both"/>
      </w:pPr>
      <w:r>
        <w:rPr>
          <w:rFonts w:ascii="Inter" w:hAnsi="Inter" w:eastAsia="Inter"/>
          <w:b w:val="0"/>
          <w:i w:val="0"/>
          <w:color w:val="292B29"/>
          <w:sz w:val="24"/>
        </w:rPr>
        <w:t>The Board serves the Association as a whole rather than individual homeowners, neighborhoods, or special interests. Every decision should consider the long-term benefit of the Owners and the Community.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Does this benefit the community as a whole?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Is this fair and consistent?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Is this in the long-term interest of the Association?</w:t>
      </w:r>
    </w:p>
    <w:p>
      <w:pPr>
        <w:spacing w:before="100" w:after="100" w:line="259" w:lineRule="auto"/>
      </w:pPr>
      <w:r>
        <w:rPr>
          <w:rFonts w:ascii="Inter" w:hAnsi="Inter" w:eastAsia="Inter"/>
          <w:b/>
          <w:i w:val="0"/>
          <w:color w:val="7A5943"/>
          <w:sz w:val="24"/>
        </w:rPr>
        <w:t>2. Protect and Preserve Association Assets</w:t>
      </w:r>
    </w:p>
    <w:p>
      <w:pPr>
        <w:spacing w:after="100" w:line="259" w:lineRule="auto"/>
        <w:jc w:val="both"/>
      </w:pPr>
      <w:r>
        <w:rPr>
          <w:rFonts w:ascii="Inter" w:hAnsi="Inter" w:eastAsia="Inter"/>
          <w:b w:val="0"/>
          <w:i w:val="0"/>
          <w:color w:val="292B29"/>
          <w:sz w:val="24"/>
        </w:rPr>
        <w:t>The Board is responsible for protecting the Association's common property, financial resources, infrastructure, and contractual rights through sound stewardship.</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Preventive maintenance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Responsible capital planning</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Appropriate reserve funding</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Careful oversight of contracts and vendors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Sound financial controls</w:t>
      </w:r>
    </w:p>
    <w:p>
      <w:pPr>
        <w:spacing w:before="100" w:after="100" w:line="259" w:lineRule="auto"/>
      </w:pPr>
      <w:r>
        <w:rPr>
          <w:rFonts w:ascii="Inter" w:hAnsi="Inter" w:eastAsia="Inter"/>
          <w:b/>
          <w:i w:val="0"/>
          <w:color w:val="7A5943"/>
          <w:sz w:val="24"/>
        </w:rPr>
        <w:t>3. Maintain the Common Property</w:t>
      </w:r>
    </w:p>
    <w:p>
      <w:pPr>
        <w:spacing w:after="100" w:line="259" w:lineRule="auto"/>
        <w:jc w:val="both"/>
      </w:pPr>
      <w:r>
        <w:rPr>
          <w:rFonts w:ascii="Inter" w:hAnsi="Inter" w:eastAsia="Inter"/>
          <w:b w:val="0"/>
          <w:i w:val="0"/>
          <w:color w:val="292B29"/>
          <w:sz w:val="24"/>
        </w:rPr>
        <w:t>The Board is responsible for maintaining, repairing, replacing, and, when appropriate, improving the Association's common property.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Consistent maintenance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Planned maintenance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Financial responsibility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Avoid deferred maintenance</w:t>
      </w:r>
    </w:p>
    <w:p>
      <w:pPr>
        <w:spacing w:before="100" w:after="100" w:line="259" w:lineRule="auto"/>
      </w:pPr>
      <w:r>
        <w:rPr>
          <w:rFonts w:ascii="Inter" w:hAnsi="Inter" w:eastAsia="Inter"/>
          <w:b/>
          <w:i w:val="0"/>
          <w:color w:val="7A5943"/>
          <w:sz w:val="24"/>
        </w:rPr>
        <w:t>4. Establish and Apply Community Standards</w:t>
      </w:r>
    </w:p>
    <w:p>
      <w:pPr>
        <w:spacing w:after="100" w:line="259" w:lineRule="auto"/>
        <w:jc w:val="both"/>
      </w:pPr>
      <w:r>
        <w:rPr>
          <w:rFonts w:ascii="Inter" w:hAnsi="Inter" w:eastAsia="Inter"/>
          <w:b w:val="0"/>
          <w:i w:val="0"/>
          <w:color w:val="292B29"/>
          <w:sz w:val="24"/>
        </w:rPr>
        <w:t>The Board may establish and interpret written standards authorized by the governing documents.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Clear</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Reasonable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Consistently applied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Support community character</w:t>
      </w:r>
    </w:p>
    <w:p>
      <w:pPr>
        <w:spacing w:before="100" w:after="100" w:line="259" w:lineRule="auto"/>
      </w:pPr>
      <w:r>
        <w:rPr>
          <w:rFonts w:ascii="Inter" w:hAnsi="Inter" w:eastAsia="Inter"/>
          <w:b/>
          <w:i w:val="0"/>
          <w:color w:val="7A5943"/>
          <w:sz w:val="24"/>
        </w:rPr>
        <w:t>5. Enforce the Governing Documents Fairly</w:t>
      </w:r>
    </w:p>
    <w:p>
      <w:pPr>
        <w:spacing w:after="100" w:line="259" w:lineRule="auto"/>
        <w:jc w:val="both"/>
      </w:pPr>
      <w:r>
        <w:rPr>
          <w:rFonts w:ascii="Inter" w:hAnsi="Inter" w:eastAsia="Inter"/>
          <w:b w:val="0"/>
          <w:i w:val="0"/>
          <w:color w:val="292B29"/>
          <w:sz w:val="24"/>
        </w:rPr>
        <w:t>The Board has a responsibility to enforce the Declaration, Bylaws, Rules, and adopted standards.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Objective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Consistent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Documented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Respectful</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Proportionate</w:t>
      </w:r>
    </w:p>
    <w:p>
      <w:pPr>
        <w:spacing w:before="100" w:after="100" w:line="259" w:lineRule="auto"/>
      </w:pPr>
      <w:r>
        <w:rPr>
          <w:rFonts w:ascii="Inter" w:hAnsi="Inter" w:eastAsia="Inter"/>
          <w:b/>
          <w:i w:val="0"/>
          <w:color w:val="7A5943"/>
          <w:sz w:val="24"/>
        </w:rPr>
        <w:t>6. Exercise Responsible Financial Stewardship</w:t>
      </w:r>
    </w:p>
    <w:p>
      <w:pPr>
        <w:spacing w:after="100" w:line="259" w:lineRule="auto"/>
        <w:jc w:val="both"/>
      </w:pPr>
      <w:r>
        <w:rPr>
          <w:rFonts w:ascii="Inter" w:hAnsi="Inter" w:eastAsia="Inter"/>
          <w:b w:val="0"/>
          <w:i w:val="0"/>
          <w:color w:val="292B29"/>
          <w:sz w:val="24"/>
        </w:rPr>
        <w:t>Every dollar collected from homeowners represents a shared community resource.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Adopt realistic budgets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Maintain operating cash</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Fund reserves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Review financial performance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Seek competitive pricing</w:t>
      </w:r>
    </w:p>
    <w:p>
      <w:pPr>
        <w:spacing w:before="100" w:after="100" w:line="259" w:lineRule="auto"/>
      </w:pPr>
      <w:r>
        <w:rPr>
          <w:rFonts w:ascii="Inter" w:hAnsi="Inter" w:eastAsia="Inter"/>
          <w:b/>
          <w:i w:val="0"/>
          <w:color w:val="7A5943"/>
          <w:sz w:val="24"/>
        </w:rPr>
        <w:t>7. Govern Through Policy Rather Than Individual Preference</w:t>
      </w:r>
    </w:p>
    <w:p>
      <w:pPr>
        <w:spacing w:after="100" w:line="259" w:lineRule="auto"/>
        <w:jc w:val="both"/>
      </w:pPr>
      <w:r>
        <w:rPr>
          <w:rFonts w:ascii="Inter" w:hAnsi="Inter" w:eastAsia="Inter"/>
          <w:b w:val="0"/>
          <w:i w:val="0"/>
          <w:color w:val="292B29"/>
          <w:sz w:val="24"/>
        </w:rPr>
        <w:t>The Board should make decisions through established policies and principles rather than changing personalities.</w:t>
      </w:r>
    </w:p>
    <w:p>
      <w:pPr>
        <w:spacing w:before="100" w:after="100" w:line="259" w:lineRule="auto"/>
      </w:pPr>
      <w:r>
        <w:rPr>
          <w:rFonts w:ascii="Inter" w:hAnsi="Inter" w:eastAsia="Inter"/>
          <w:b/>
          <w:i w:val="0"/>
          <w:color w:val="7A5943"/>
          <w:sz w:val="24"/>
        </w:rPr>
        <w:t>8. Delegate Operations While Providing Oversight</w:t>
      </w:r>
    </w:p>
    <w:p>
      <w:pPr>
        <w:spacing w:after="100" w:line="259" w:lineRule="auto"/>
        <w:jc w:val="both"/>
      </w:pPr>
      <w:r>
        <w:rPr>
          <w:rFonts w:ascii="Inter" w:hAnsi="Inter" w:eastAsia="Inter"/>
          <w:b w:val="0"/>
          <w:i w:val="0"/>
          <w:color w:val="292B29"/>
          <w:sz w:val="24"/>
        </w:rPr>
        <w:t>The Board establishes policy and direction while professional management executes those policies.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Regular reporting</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Financial review</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Project monitoring</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Performance evaluation</w:t>
      </w:r>
    </w:p>
    <w:p>
      <w:pPr>
        <w:spacing w:before="100" w:after="100" w:line="259" w:lineRule="auto"/>
      </w:pPr>
      <w:r>
        <w:rPr>
          <w:rFonts w:ascii="Inter" w:hAnsi="Inter" w:eastAsia="Inter"/>
          <w:b/>
          <w:i w:val="0"/>
          <w:color w:val="7A5943"/>
          <w:sz w:val="24"/>
        </w:rPr>
        <w:t>9. Make Informed Decisions</w:t>
      </w:r>
    </w:p>
    <w:p>
      <w:pPr>
        <w:spacing w:after="100" w:line="259" w:lineRule="auto"/>
        <w:jc w:val="both"/>
      </w:pPr>
      <w:r>
        <w:rPr>
          <w:rFonts w:ascii="Inter" w:hAnsi="Inter" w:eastAsia="Inter"/>
          <w:b w:val="0"/>
          <w:i w:val="0"/>
          <w:color w:val="292B29"/>
          <w:sz w:val="24"/>
        </w:rPr>
        <w:t>The Board should seek sufficient information before making significant decisions.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Financial analysis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Vendor proposals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Professional recommendations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Legal advice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Technical expertise</w:t>
      </w:r>
    </w:p>
    <w:p>
      <w:pPr>
        <w:spacing w:before="100" w:after="100" w:line="259" w:lineRule="auto"/>
      </w:pPr>
      <w:r>
        <w:rPr>
          <w:rFonts w:ascii="Inter" w:hAnsi="Inter" w:eastAsia="Inter"/>
          <w:b/>
          <w:i w:val="0"/>
          <w:color w:val="7A5943"/>
          <w:sz w:val="24"/>
        </w:rPr>
        <w:t>10. Participate Responsibly in Board Decisions</w:t>
      </w:r>
    </w:p>
    <w:p>
      <w:pPr>
        <w:spacing w:after="100" w:line="259" w:lineRule="auto"/>
        <w:jc w:val="both"/>
      </w:pPr>
      <w:r>
        <w:rPr>
          <w:rFonts w:ascii="Inter" w:hAnsi="Inter"/>
          <w:b w:val="0"/>
          <w:i w:val="0"/>
          <w:color w:val="292B29"/>
          <w:sz w:val="24"/>
        </w:rPr>
        <w:t>Directors should make reasonable efforts to review materials, participate in deliberation, and respond when Board action is requested. Board action should be taken and documented in the manner required by the Bylaws and applicable Georgia law.</w:t>
      </w:r>
    </w:p>
    <w:p>
      <w:pPr>
        <w:spacing w:after="100" w:line="259" w:lineRule="auto"/>
        <w:ind w:left="317" w:hanging="202"/>
        <w:jc w:val="both"/>
      </w:pPr>
      <w:r>
        <w:rPr>
          <w:rFonts w:ascii="Inter" w:hAnsi="Inter"/>
          <w:b/>
          <w:i w:val="0"/>
          <w:color w:val="C46F3C"/>
          <w:sz w:val="24"/>
        </w:rPr>
        <w:t>•  Exercise independent judgment after reasonable deliberation</w:t>
      </w:r>
    </w:p>
    <w:p>
      <w:pPr>
        <w:spacing w:after="100" w:line="259" w:lineRule="auto"/>
        <w:ind w:left="317" w:hanging="202"/>
        <w:jc w:val="both"/>
      </w:pPr>
      <w:r>
        <w:rPr>
          <w:rFonts w:ascii="Inter" w:hAnsi="Inter"/>
          <w:b/>
          <w:i w:val="0"/>
          <w:color w:val="C46F3C"/>
          <w:sz w:val="24"/>
        </w:rPr>
        <w:t>•  Clearly state and document any dissent, abstention, or recusal when appropriate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Disclose conflicts and follow applicable recusal requirements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Document Board action in the Association's records</w:t>
      </w:r>
    </w:p>
    <w:p>
      <w:pPr>
        <w:spacing w:before="100" w:after="100" w:line="259" w:lineRule="auto"/>
      </w:pPr>
      <w:r>
        <w:rPr>
          <w:rFonts w:ascii="Inter" w:hAnsi="Inter" w:eastAsia="Inter"/>
          <w:b/>
          <w:i w:val="0"/>
          <w:color w:val="7A5943"/>
          <w:sz w:val="24"/>
        </w:rPr>
        <w:t>11. Exercise the Duties of a Director in Good Faith</w:t>
      </w:r>
    </w:p>
    <w:p>
      <w:pPr>
        <w:spacing w:after="100" w:line="259" w:lineRule="auto"/>
        <w:jc w:val="both"/>
      </w:pPr>
      <w:r>
        <w:rPr>
          <w:rFonts w:ascii="Inter" w:hAnsi="Inter" w:eastAsia="Inter"/>
          <w:b w:val="0"/>
          <w:i w:val="0"/>
          <w:color w:val="292B29"/>
          <w:sz w:val="24"/>
        </w:rPr>
        <w:t>Directors should perform their duties in good faith, in a manner they believe to be in the best interests of the Association, and with the care required by applicable Georgia law. O.C.G.A. § 14-3-830 establishes standards of conduct for directors and supports the expectation that Directors remain informed and meaningfully participate in governance.</w:t>
      </w:r>
    </w:p>
    <w:p>
      <w:pPr>
        <w:spacing w:before="100" w:after="100" w:line="259" w:lineRule="auto"/>
      </w:pPr>
      <w:r>
        <w:rPr>
          <w:rFonts w:ascii="Inter" w:hAnsi="Inter" w:eastAsia="Inter"/>
          <w:b/>
          <w:i w:val="0"/>
          <w:color w:val="7A5943"/>
          <w:sz w:val="24"/>
        </w:rPr>
        <w:t>12. Preserve Institutional Knowledge</w:t>
      </w:r>
    </w:p>
    <w:p>
      <w:pPr>
        <w:spacing w:after="100" w:line="259" w:lineRule="auto"/>
        <w:jc w:val="both"/>
      </w:pPr>
      <w:r>
        <w:rPr>
          <w:rFonts w:ascii="Inter" w:hAnsi="Inter" w:eastAsia="Inter"/>
          <w:b w:val="0"/>
          <w:i w:val="0"/>
          <w:color w:val="292B29"/>
          <w:sz w:val="24"/>
        </w:rPr>
        <w:t>Each Board has a responsibility to leave the Association stronger than it found it.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Written policies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Meeting minutes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Governance manuals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Standard operating procedures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Historical records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Board orientation materials</w:t>
      </w:r>
    </w:p>
    <w:p>
      <w:pPr>
        <w:spacing w:before="260" w:after="100"/>
        <w:pBdr>
          <w:bottom w:val="single" w:sz="5" w:space="4" w:color="E6E1D8"/>
        </w:pBdr>
      </w:pPr>
      <w:r>
        <w:rPr>
          <w:rFonts w:ascii="Inter" w:hAnsi="Inter" w:eastAsia="Inter"/>
          <w:b/>
          <w:i w:val="0"/>
          <w:color w:val="24483B"/>
          <w:sz w:val="28"/>
        </w:rPr>
        <w:t>GUIDING PRINCIPLE</w:t>
      </w:r>
    </w:p>
    <w:p>
      <w:pPr>
        <w:spacing w:after="100" w:line="259" w:lineRule="auto"/>
        <w:jc w:val="both"/>
      </w:pPr>
      <w:r>
        <w:rPr>
          <w:rFonts w:ascii="Inter" w:hAnsi="Inter" w:eastAsia="Inter"/>
          <w:b w:val="0"/>
          <w:i w:val="0"/>
          <w:color w:val="292B29"/>
          <w:sz w:val="24"/>
        </w:rPr>
        <w:t>The Board's responsibility is not simply to solve today's problems. It is to govern the Association in a way that protects its property and financial resources, follows controlling authority, applies policies consistently, and supports the long-term interests of the Owners and the Community. Every decision should reflect these principles and recognize that Board members serve on behalf of the entire Association.</w:t>
      </w:r>
    </w:p>
    <w:p>
      <w:pPr>
        <w:spacing w:before="260" w:after="100"/>
        <w:pBdr>
          <w:bottom w:val="single" w:sz="5" w:space="4" w:color="E6E1D8"/>
        </w:pBdr>
      </w:pPr>
      <w:r>
        <w:rPr>
          <w:rFonts w:ascii="Inter" w:hAnsi="Inter" w:eastAsia="Inter"/>
          <w:b/>
          <w:i w:val="0"/>
          <w:color w:val="24483B"/>
          <w:sz w:val="28"/>
        </w:rPr>
        <w:t>LEGAL AND GOVERNING-DOCUMENT REFERENCES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LOWOCA Bylaws §3.B(5) - quorum, majority vote, remote participation, and prohibition on Director proxies.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LOWOCA Bylaws §3.B(7) - written consent/action without a meeting.</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O.C.G.A. § 14-3-821 - action by directors without a meeting.</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O.C.G.A. § 14-3-824 - quorum and voting; recording dissent or abstention.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O.C.G.A. § 14-3-830 - standards of conduct for directors.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Applicable conflict-of-interest provisions of the Georgia Nonprofit Corporation Code and the Association's governing documents.</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