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Board Governance Reference Guide</w:t>
      </w:r>
    </w:p>
    <w:p>
      <w:pPr>
        <w:spacing w:after="60"/>
        <w:jc w:val="both"/>
      </w:pPr>
      <w:r>
        <w:rPr>
          <w:rFonts w:ascii="Inter" w:hAnsi="Inter" w:eastAsia="Inter"/>
          <w:b w:val="0"/>
          <w:i w:val="0"/>
          <w:color w:val="7A5943"/>
          <w:sz w:val="24"/>
        </w:rPr>
        <w:t>Administrative Reference Guide  •  Draft for Board Review</w:t>
      </w:r>
    </w:p>
    <w:p>
      <w:pPr>
        <w:spacing w:after="180"/>
        <w:pBdr>
          <w:bottom w:val="single" w:sz="6" w:space="4" w:color="E6E1D8"/>
        </w:pBdr>
        <w:jc w:val="both"/>
      </w:pPr>
      <w:r>
        <w:rPr>
          <w:rFonts w:ascii="Inter" w:hAnsi="Inter" w:eastAsia="Inter"/>
          <w:b w:val="0"/>
          <w:i w:val="0"/>
          <w:color w:val="4E514D"/>
          <w:sz w:val="24"/>
        </w:rPr>
        <w:t>Administrative summary of controlling authority — not an independent governing document.</w:t>
      </w:r>
    </w:p>
    <w:p>
      <w:pPr>
        <w:spacing w:before="260" w:after="100"/>
        <w:pBdr>
          <w:bottom w:val="single" w:sz="5" w:space="4" w:color="E6E1D8"/>
        </w:pBdr>
      </w:pPr>
      <w:r>
        <w:rPr>
          <w:rFonts w:ascii="Inter" w:hAnsi="Inter"/>
          <w:b/>
          <w:i w:val="0"/>
          <w:color w:val="24483B"/>
          <w:sz w:val="28"/>
        </w:rPr>
        <w:t>CONTROLLING AUTHORITY</w:t>
      </w:r>
    </w:p>
    <w:p>
      <w:pPr>
        <w:spacing w:after="100" w:line="259" w:lineRule="auto"/>
        <w:jc w:val="both"/>
      </w:pPr>
      <w:r>
        <w:rPr>
          <w:rFonts w:ascii="Inter" w:hAnsi="Inter"/>
          <w:b w:val="0"/>
          <w:i w:val="0"/>
          <w:color w:val="292B29"/>
          <w:sz w:val="24"/>
        </w:rPr>
        <w:t>This document supplements the Association's Declaration, Articles of Incorporation, Bylaws, applicable Georgia law, and other controlling authority. If any provision conflicts with controlling authority, the controlling authority governs. Matters affecting legal rights, enforcement, collections, liens, foreclosure, or statutory compliance should be administered in consultation with Association counsel when appropriate.</w:t>
      </w:r>
    </w:p>
    <w:p>
      <w:pPr>
        <w:spacing w:after="100" w:line="259" w:lineRule="auto"/>
        <w:jc w:val="both"/>
      </w:pPr>
      <w:r>
        <w:rPr>
          <w:rFonts w:ascii="Inter" w:hAnsi="Inter" w:eastAsia="Inter"/>
          <w:b w:val="0"/>
          <w:i w:val="0"/>
          <w:color w:val="292B29"/>
          <w:sz w:val="24"/>
        </w:rPr>
        <w:t>Status of this Guide: This Guide summarizes existing requirements and identifies source documents. It does not create, amend, or supersede legal rights, duties, voting thresholds, enforcement authority, or governing-document requirements.</w:t>
      </w:r>
    </w:p>
    <w:p>
      <w:pPr>
        <w:spacing w:before="260" w:after="100"/>
        <w:pBdr>
          <w:bottom w:val="single" w:sz="5" w:space="4" w:color="E6E1D8"/>
        </w:pBdr>
      </w:pPr>
      <w:r>
        <w:rPr>
          <w:rFonts w:ascii="Inter" w:hAnsi="Inter" w:eastAsia="Inter"/>
          <w:b/>
          <w:i w:val="0"/>
          <w:color w:val="C46F3C"/>
          <w:sz w:val="28"/>
        </w:rPr>
        <w:t>01  GOVERNING AUTHORITY AND HIERARCHY</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Directors should consult the current Declaration and amendments, Articles of Incorporation, Bylaws, applicable Georgia Property Owners' Association Act provisions, and Georgia Nonprofit Corporation Code. When a source is amended, the source controls immediately; this Guide should then be updated administratively.</w:t>
      </w:r>
    </w:p>
    <w:p>
      <w:pPr>
        <w:spacing w:before="260" w:after="100"/>
        <w:pBdr>
          <w:bottom w:val="single" w:sz="5" w:space="4" w:color="E6E1D8"/>
        </w:pBdr>
      </w:pPr>
      <w:r>
        <w:rPr>
          <w:rFonts w:ascii="Inter" w:hAnsi="Inter" w:eastAsia="Inter"/>
          <w:b/>
          <w:i w:val="0"/>
          <w:color w:val="C46F3C"/>
          <w:sz w:val="28"/>
        </w:rPr>
        <w:t>02  BOARD COMPOSITION AND ELIGIBILITY</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Board size: Bylaws §3.A(1) permits 5 to 15 Directors, with the exact number determined by Board resolution. The current Board consists of seven Directors.</w:t>
      </w:r>
    </w:p>
    <w:p>
      <w:pPr>
        <w:spacing w:after="100" w:line="259" w:lineRule="auto"/>
        <w:jc w:val="both"/>
      </w:pPr>
      <w:r>
        <w:rPr>
          <w:rFonts w:ascii="Inter" w:hAnsi="Inter" w:eastAsia="Inter"/>
          <w:b w:val="0"/>
          <w:i w:val="0"/>
          <w:color w:val="292B29"/>
          <w:sz w:val="24"/>
        </w:rPr>
        <w:t>Eligibility: Bylaws §3.A(1) requires Directors to meet the stated Owner/spouse/Domestic Partner eligibility criteria and addresses delinquency/suspension-based ineligibility.</w:t>
      </w:r>
    </w:p>
    <w:p>
      <w:pPr>
        <w:spacing w:after="100" w:line="259" w:lineRule="auto"/>
        <w:jc w:val="both"/>
      </w:pPr>
      <w:r>
        <w:rPr>
          <w:rFonts w:ascii="Inter" w:hAnsi="Inter" w:eastAsia="Inter"/>
          <w:b w:val="0"/>
          <w:i w:val="0"/>
          <w:color w:val="292B29"/>
          <w:sz w:val="24"/>
        </w:rPr>
        <w:t>Terms: Bylaws §3.A(2) governs Director terms.</w:t>
      </w:r>
    </w:p>
    <w:p>
      <w:pPr>
        <w:spacing w:after="100" w:line="259" w:lineRule="auto"/>
        <w:jc w:val="both"/>
      </w:pPr>
      <w:r>
        <w:rPr>
          <w:rFonts w:ascii="Inter" w:hAnsi="Inter" w:eastAsia="Inter"/>
          <w:b w:val="0"/>
          <w:i w:val="0"/>
          <w:color w:val="292B29"/>
          <w:sz w:val="24"/>
        </w:rPr>
        <w:t>Vacancies: Bylaws §3.A(4) governs vacancies.</w:t>
      </w:r>
    </w:p>
    <w:p>
      <w:pPr>
        <w:spacing w:after="100" w:line="259" w:lineRule="auto"/>
        <w:jc w:val="both"/>
      </w:pPr>
      <w:r>
        <w:rPr>
          <w:rFonts w:ascii="Inter" w:hAnsi="Inter" w:eastAsia="Inter"/>
          <w:b w:val="0"/>
          <w:i w:val="0"/>
          <w:color w:val="292B29"/>
          <w:sz w:val="24"/>
        </w:rPr>
        <w:t>Compensation: Bylaws §3.A(5) governs Director compensation and permits reimbursement of reasonable Board-approved expenses.</w:t>
      </w:r>
    </w:p>
    <w:p>
      <w:pPr>
        <w:spacing w:after="100" w:line="259" w:lineRule="auto"/>
        <w:jc w:val="both"/>
      </w:pPr>
      <w:r>
        <w:rPr>
          <w:rFonts w:ascii="Inter" w:hAnsi="Inter" w:eastAsia="Inter"/>
          <w:b w:val="0"/>
          <w:i w:val="0"/>
          <w:color w:val="292B29"/>
          <w:sz w:val="24"/>
        </w:rPr>
        <w:t>Conflicts: Bylaws §3.A(6) addresses Director conflicts in Association contracts; applicable Georgia nonprofit law also governs conflict transactions.</w:t>
      </w:r>
    </w:p>
    <w:p>
      <w:pPr>
        <w:spacing w:before="260" w:after="100"/>
        <w:pBdr>
          <w:bottom w:val="single" w:sz="5" w:space="4" w:color="E6E1D8"/>
        </w:pBdr>
      </w:pPr>
      <w:r>
        <w:rPr>
          <w:rFonts w:ascii="Inter" w:hAnsi="Inter" w:eastAsia="Inter"/>
          <w:b/>
          <w:i w:val="0"/>
          <w:color w:val="C46F3C"/>
          <w:sz w:val="28"/>
        </w:rPr>
        <w:t>03  BOARD MEETINGS AND DECISIONS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Regular meetings: Bylaws §3.B(1) requires Board meetings at least every other month at times and places determined by the Board.</w:t>
      </w:r>
    </w:p>
    <w:p>
      <w:pPr>
        <w:spacing w:after="100" w:line="259" w:lineRule="auto"/>
        <w:jc w:val="both"/>
      </w:pPr>
      <w:r>
        <w:rPr>
          <w:rFonts w:ascii="Inter" w:hAnsi="Inter" w:eastAsia="Inter"/>
          <w:b w:val="0"/>
          <w:i w:val="0"/>
          <w:color w:val="292B29"/>
          <w:sz w:val="24"/>
        </w:rPr>
        <w:t>Special meetings: Bylaws §3.B(2) authorizes the President to call a special Board meeting and requires the President to call one at the request of a majority of Directors.</w:t>
      </w:r>
    </w:p>
    <w:p>
      <w:pPr>
        <w:spacing w:after="100" w:line="259" w:lineRule="auto"/>
        <w:jc w:val="both"/>
      </w:pPr>
      <w:r>
        <w:rPr>
          <w:rFonts w:ascii="Inter" w:hAnsi="Inter" w:eastAsia="Inter"/>
          <w:b w:val="0"/>
          <w:i w:val="0"/>
          <w:color w:val="292B29"/>
          <w:sz w:val="24"/>
        </w:rPr>
        <w:t>Notice: Bylaws §3.B(3) generally requires at least two days' notice, subject to the announced-schedule exception; §3.B(4) governs waiver.</w:t>
      </w:r>
    </w:p>
    <w:p>
      <w:pPr>
        <w:spacing w:after="100" w:line="259" w:lineRule="auto"/>
        <w:jc w:val="both"/>
      </w:pPr>
      <w:r>
        <w:rPr>
          <w:rFonts w:ascii="Inter" w:hAnsi="Inter" w:eastAsia="Inter"/>
          <w:b w:val="0"/>
          <w:i w:val="0"/>
          <w:color w:val="292B29"/>
          <w:sz w:val="24"/>
        </w:rPr>
        <w:t>Quorum: Bylaws §3.B(5) sets quorum at one-half of eligible Board votes and addresses ineligible Director votes.</w:t>
      </w:r>
    </w:p>
    <w:p>
      <w:pPr>
        <w:spacing w:after="100" w:line="259" w:lineRule="auto"/>
        <w:jc w:val="both"/>
      </w:pPr>
      <w:r>
        <w:rPr>
          <w:rFonts w:ascii="Inter" w:hAnsi="Inter" w:eastAsia="Inter"/>
          <w:b w:val="0"/>
          <w:i w:val="0"/>
          <w:color w:val="292B29"/>
          <w:sz w:val="24"/>
        </w:rPr>
        <w:t>Voting: Bylaws §3.B(5) generally provides for majority vote unless otherwise specified.</w:t>
      </w:r>
    </w:p>
    <w:p>
      <w:pPr>
        <w:spacing w:after="100" w:line="259" w:lineRule="auto"/>
        <w:jc w:val="both"/>
      </w:pPr>
      <w:r>
        <w:rPr>
          <w:rFonts w:ascii="Inter" w:hAnsi="Inter" w:eastAsia="Inter"/>
          <w:b w:val="0"/>
          <w:i w:val="0"/>
          <w:color w:val="292B29"/>
          <w:sz w:val="24"/>
        </w:rPr>
        <w:t>Remote participation: Bylaws §3.B(5) permits remote participation when all participating Directors can hear one another.</w:t>
      </w:r>
    </w:p>
    <w:p>
      <w:pPr>
        <w:spacing w:after="100" w:line="259" w:lineRule="auto"/>
        <w:jc w:val="both"/>
      </w:pPr>
      <w:r>
        <w:rPr>
          <w:rFonts w:ascii="Inter" w:hAnsi="Inter" w:eastAsia="Inter"/>
          <w:b w:val="0"/>
          <w:i w:val="0"/>
          <w:color w:val="292B29"/>
          <w:sz w:val="24"/>
        </w:rPr>
        <w:t>Director proxies: Bylaws §3.B(5) prohibits proxy voting by Directors.</w:t>
      </w:r>
    </w:p>
    <w:p>
      <w:pPr>
        <w:spacing w:after="100" w:line="259" w:lineRule="auto"/>
        <w:jc w:val="both"/>
      </w:pPr>
      <w:r>
        <w:rPr>
          <w:rFonts w:ascii="Inter" w:hAnsi="Inter" w:eastAsia="Inter"/>
          <w:b w:val="0"/>
          <w:i w:val="0"/>
          <w:color w:val="292B29"/>
          <w:sz w:val="24"/>
        </w:rPr>
        <w:t>Executive session: Bylaws §3.B(6) authorizes executive session for the listed confidential matters and requires the nature of the business to be announced first.</w:t>
      </w:r>
    </w:p>
    <w:p>
      <w:pPr>
        <w:spacing w:after="100" w:line="259" w:lineRule="auto"/>
        <w:jc w:val="both"/>
      </w:pPr>
      <w:r>
        <w:rPr>
          <w:rFonts w:ascii="Inter" w:hAnsi="Inter" w:eastAsia="Inter"/>
          <w:b w:val="0"/>
          <w:i w:val="0"/>
          <w:color w:val="292B29"/>
          <w:sz w:val="24"/>
        </w:rPr>
        <w:t>Action without meeting: Bylaws §3.B(7) permits action when a majority of eligible Directors consent in writing to the action and requires the consent to be filed with Board minutes.</w:t>
      </w:r>
    </w:p>
    <w:p>
      <w:pPr>
        <w:spacing w:after="100" w:line="259" w:lineRule="auto"/>
        <w:jc w:val="both"/>
      </w:pPr>
      <w:r>
        <w:rPr>
          <w:rFonts w:ascii="Inter" w:hAnsi="Inter" w:eastAsia="Inter"/>
          <w:b w:val="0"/>
          <w:i w:val="0"/>
          <w:color w:val="292B29"/>
          <w:sz w:val="24"/>
        </w:rPr>
        <w:t>Current regular meeting schedule and administrative meeting workflow are maintained in the Board Meeting &amp; Administration Procedures.</w:t>
      </w:r>
    </w:p>
    <w:p>
      <w:pPr>
        <w:spacing w:before="260" w:after="100"/>
        <w:pBdr>
          <w:bottom w:val="single" w:sz="5" w:space="4" w:color="E6E1D8"/>
        </w:pBdr>
      </w:pPr>
      <w:r>
        <w:rPr>
          <w:rFonts w:ascii="Inter" w:hAnsi="Inter" w:eastAsia="Inter"/>
          <w:b/>
          <w:i w:val="0"/>
          <w:color w:val="C46F3C"/>
          <w:sz w:val="28"/>
        </w:rPr>
        <w:t>04  BOARD AUTHORITY AND MANAGEMENT AGENT</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Declaration ¶2.E defines the Board as the body responsible for management and operation of the Association. Bylaws §3.C sets forth Board powers and duties.</w:t>
      </w:r>
    </w:p>
    <w:p>
      <w:pPr>
        <w:spacing w:after="100" w:line="259" w:lineRule="auto"/>
        <w:jc w:val="both"/>
      </w:pPr>
      <w:r>
        <w:rPr>
          <w:rFonts w:ascii="Inter" w:hAnsi="Inter" w:eastAsia="Inter"/>
          <w:b w:val="0"/>
          <w:i w:val="0"/>
          <w:color w:val="292B29"/>
          <w:sz w:val="24"/>
        </w:rPr>
        <w:t>Bylaws §3.C(2) authorizes a professional management agent and states the Board is not relieved of its duties. It also directs reasonable efforts to ensure a management contract may be terminated with or without cause and without penalty on no more than 30 days' written notice and has a term not exceeding one year.</w:t>
      </w:r>
    </w:p>
    <w:p>
      <w:pPr>
        <w:spacing w:after="100" w:line="259" w:lineRule="auto"/>
        <w:jc w:val="both"/>
      </w:pPr>
      <w:r>
        <w:rPr>
          <w:rFonts w:ascii="Inter" w:hAnsi="Inter" w:eastAsia="Inter"/>
          <w:b w:val="0"/>
          <w:i w:val="0"/>
          <w:color w:val="292B29"/>
          <w:sz w:val="24"/>
        </w:rPr>
        <w:t>Current delegation and referral workflows are maintained in the Management, Committee &amp; Delegation Policy. The active management agreement controls the manager's contractual duties and authority.</w:t>
      </w:r>
    </w:p>
    <w:p>
      <w:pPr>
        <w:spacing w:before="260" w:after="100"/>
        <w:pBdr>
          <w:bottom w:val="single" w:sz="5" w:space="4" w:color="E6E1D8"/>
        </w:pBdr>
      </w:pPr>
      <w:r>
        <w:rPr>
          <w:rFonts w:ascii="Inter" w:hAnsi="Inter" w:eastAsia="Inter"/>
          <w:b/>
          <w:i w:val="0"/>
          <w:color w:val="C46F3C"/>
          <w:sz w:val="28"/>
        </w:rPr>
        <w:t>05  OFFICERS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Qualifications: Bylaws §4.A identifies the principal officers and which offices must be held by Directors.</w:t>
      </w:r>
    </w:p>
    <w:p>
      <w:pPr>
        <w:spacing w:after="100" w:line="259" w:lineRule="auto"/>
        <w:jc w:val="both"/>
      </w:pPr>
      <w:r>
        <w:rPr>
          <w:rFonts w:ascii="Inter" w:hAnsi="Inter" w:eastAsia="Inter"/>
          <w:b w:val="0"/>
          <w:i w:val="0"/>
          <w:color w:val="292B29"/>
          <w:sz w:val="24"/>
        </w:rPr>
        <w:t>Election / terms: Bylaws §4.B governs annual election and terms.</w:t>
      </w:r>
    </w:p>
    <w:p>
      <w:pPr>
        <w:spacing w:after="100" w:line="259" w:lineRule="auto"/>
        <w:jc w:val="both"/>
      </w:pPr>
      <w:r>
        <w:rPr>
          <w:rFonts w:ascii="Inter" w:hAnsi="Inter" w:eastAsia="Inter"/>
          <w:b w:val="0"/>
          <w:i w:val="0"/>
          <w:color w:val="292B29"/>
          <w:sz w:val="24"/>
        </w:rPr>
        <w:t>Removal / vacancies: Bylaws §4.C-§4.D governs officer removal and vacancies.</w:t>
      </w:r>
    </w:p>
    <w:p>
      <w:pPr>
        <w:spacing w:after="100" w:line="259" w:lineRule="auto"/>
        <w:jc w:val="both"/>
      </w:pPr>
      <w:r>
        <w:rPr>
          <w:rFonts w:ascii="Inter" w:hAnsi="Inter" w:eastAsia="Inter"/>
          <w:b w:val="0"/>
          <w:i w:val="0"/>
          <w:color w:val="292B29"/>
          <w:sz w:val="24"/>
        </w:rPr>
        <w:t>President: Bylaws §4.E.</w:t>
      </w:r>
    </w:p>
    <w:p>
      <w:pPr>
        <w:spacing w:after="100" w:line="259" w:lineRule="auto"/>
        <w:jc w:val="both"/>
      </w:pPr>
      <w:r>
        <w:rPr>
          <w:rFonts w:ascii="Inter" w:hAnsi="Inter" w:eastAsia="Inter"/>
          <w:b w:val="0"/>
          <w:i w:val="0"/>
          <w:color w:val="292B29"/>
          <w:sz w:val="24"/>
        </w:rPr>
        <w:t>Vice President: Bylaws §4.F.</w:t>
      </w:r>
    </w:p>
    <w:p>
      <w:pPr>
        <w:spacing w:after="100" w:line="259" w:lineRule="auto"/>
        <w:jc w:val="both"/>
      </w:pPr>
      <w:r>
        <w:rPr>
          <w:rFonts w:ascii="Inter" w:hAnsi="Inter" w:eastAsia="Inter"/>
          <w:b w:val="0"/>
          <w:i w:val="0"/>
          <w:color w:val="292B29"/>
          <w:sz w:val="24"/>
        </w:rPr>
        <w:t>Secretary: Bylaws §4.G.</w:t>
      </w:r>
    </w:p>
    <w:p>
      <w:pPr>
        <w:spacing w:after="100" w:line="259" w:lineRule="auto"/>
        <w:jc w:val="both"/>
      </w:pPr>
      <w:r>
        <w:rPr>
          <w:rFonts w:ascii="Inter" w:hAnsi="Inter" w:eastAsia="Inter"/>
          <w:b w:val="0"/>
          <w:i w:val="0"/>
          <w:color w:val="292B29"/>
          <w:sz w:val="24"/>
        </w:rPr>
        <w:t>Treasurer: Bylaws §4.H.</w:t>
      </w:r>
    </w:p>
    <w:p>
      <w:pPr>
        <w:spacing w:after="100" w:line="259" w:lineRule="auto"/>
        <w:jc w:val="both"/>
      </w:pPr>
      <w:r>
        <w:rPr>
          <w:rFonts w:ascii="Inter" w:hAnsi="Inter" w:eastAsia="Inter"/>
          <w:b w:val="0"/>
          <w:i w:val="0"/>
          <w:color w:val="292B29"/>
          <w:sz w:val="24"/>
        </w:rPr>
        <w:t>Execution of instruments: Bylaws §4.J requires at least two officers or other Board-designated persons to execute the listed Association instruments.</w:t>
      </w:r>
    </w:p>
    <w:p>
      <w:pPr>
        <w:spacing w:before="260" w:after="100"/>
        <w:pBdr>
          <w:bottom w:val="single" w:sz="5" w:space="4" w:color="E6E1D8"/>
        </w:pBdr>
      </w:pPr>
      <w:r>
        <w:rPr>
          <w:rFonts w:ascii="Inter" w:hAnsi="Inter" w:eastAsia="Inter"/>
          <w:b/>
          <w:i w:val="0"/>
          <w:color w:val="C46F3C"/>
          <w:sz w:val="28"/>
        </w:rPr>
        <w:t>06  COMMITTEES AND DESIGN REVIEW</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Bylaws §3.C(4) authorizes a nominating committee, Design Review Committee, and other committees.</w:t>
      </w:r>
    </w:p>
    <w:p>
      <w:pPr>
        <w:spacing w:after="100" w:line="259" w:lineRule="auto"/>
        <w:jc w:val="both"/>
      </w:pPr>
      <w:r>
        <w:rPr>
          <w:rFonts w:ascii="Inter" w:hAnsi="Inter" w:eastAsia="Inter"/>
          <w:b w:val="0"/>
          <w:i w:val="0"/>
          <w:color w:val="292B29"/>
          <w:sz w:val="24"/>
        </w:rPr>
        <w:t>The Declaration defines the Development Review Committee (DRC) as the committee exercising architectural review powers. The governing-document terminology should be used consistently.</w:t>
      </w:r>
    </w:p>
    <w:p>
      <w:pPr>
        <w:spacing w:after="100" w:line="259" w:lineRule="auto"/>
        <w:jc w:val="both"/>
      </w:pPr>
      <w:r>
        <w:rPr>
          <w:rFonts w:ascii="Inter" w:hAnsi="Inter" w:eastAsia="Inter"/>
          <w:b w:val="0"/>
          <w:i w:val="0"/>
          <w:color w:val="292B29"/>
          <w:sz w:val="24"/>
        </w:rPr>
        <w:t>Committee charters and delegated operating limits, if any, are maintained in the Management, Committee &amp; Delegation Policy. Substantive architectural standards remain in the Declaration and adopted DRC/architectural standards.</w:t>
      </w:r>
    </w:p>
    <w:p>
      <w:pPr>
        <w:spacing w:before="260" w:after="100"/>
        <w:pBdr>
          <w:bottom w:val="single" w:sz="5" w:space="4" w:color="E6E1D8"/>
        </w:pBdr>
      </w:pPr>
      <w:r>
        <w:rPr>
          <w:rFonts w:ascii="Inter" w:hAnsi="Inter" w:eastAsia="Inter"/>
          <w:b/>
          <w:i w:val="0"/>
          <w:color w:val="C46F3C"/>
          <w:sz w:val="28"/>
        </w:rPr>
        <w:t>07  FINANCIAL STATEMENTS, REVIEW, AND RECORDS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Financial statements: Bylaws §5.C requires annual financial statements to be prepared and made available within 120 days after fiscal year-end.</w:t>
      </w:r>
    </w:p>
    <w:p>
      <w:pPr>
        <w:spacing w:after="100" w:line="259" w:lineRule="auto"/>
        <w:jc w:val="both"/>
      </w:pPr>
      <w:r>
        <w:rPr>
          <w:rFonts w:ascii="Inter" w:hAnsi="Inter" w:eastAsia="Inter"/>
          <w:b w:val="0"/>
          <w:i w:val="0"/>
          <w:color w:val="292B29"/>
          <w:sz w:val="24"/>
        </w:rPr>
        <w:t>Financial review: Bylaws §5.D requires an annual financial review in the manner provided by the Board and a financial report at the annual membership meeting.</w:t>
      </w:r>
    </w:p>
    <w:p>
      <w:pPr>
        <w:spacing w:after="100" w:line="259" w:lineRule="auto"/>
        <w:jc w:val="both"/>
      </w:pPr>
      <w:r>
        <w:rPr>
          <w:rFonts w:ascii="Inter" w:hAnsi="Inter" w:eastAsia="Inter"/>
          <w:b w:val="0"/>
          <w:i w:val="0"/>
          <w:color w:val="292B29"/>
          <w:sz w:val="24"/>
        </w:rPr>
        <w:t>Books and records: Bylaws §5.F governs Owner and Eligible Mortgage Holder inspection rights, including the five-business-day written-request requirement and permitted restrictions.</w:t>
      </w:r>
    </w:p>
    <w:p>
      <w:pPr>
        <w:spacing w:after="100" w:line="259" w:lineRule="auto"/>
        <w:jc w:val="both"/>
      </w:pPr>
      <w:r>
        <w:rPr>
          <w:rFonts w:ascii="Inter" w:hAnsi="Inter" w:eastAsia="Inter"/>
          <w:b w:val="0"/>
          <w:i w:val="0"/>
          <w:color w:val="292B29"/>
          <w:sz w:val="24"/>
        </w:rPr>
        <w:t>Management reporting: The active management agreement may impose additional monthly financial-reporting and banking duties.</w:t>
      </w:r>
    </w:p>
    <w:p>
      <w:pPr>
        <w:spacing w:after="100" w:line="259" w:lineRule="auto"/>
        <w:jc w:val="both"/>
      </w:pPr>
      <w:r>
        <w:rPr>
          <w:rFonts w:ascii="Inter" w:hAnsi="Inter" w:eastAsia="Inter"/>
          <w:b w:val="0"/>
          <w:i w:val="0"/>
          <w:color w:val="292B29"/>
          <w:sz w:val="24"/>
        </w:rPr>
        <w:t>Board-created financial reporting, procurement, payment, reserve, and electronic-control procedures are maintained in the Financial Controls, Purchasing &amp; Payment Policy.</w:t>
      </w:r>
    </w:p>
    <w:p>
      <w:pPr>
        <w:spacing w:before="260" w:after="100"/>
        <w:pBdr>
          <w:bottom w:val="single" w:sz="5" w:space="4" w:color="E6E1D8"/>
        </w:pBdr>
      </w:pPr>
      <w:r>
        <w:rPr>
          <w:rFonts w:ascii="Inter" w:hAnsi="Inter" w:eastAsia="Inter"/>
          <w:b/>
          <w:i w:val="0"/>
          <w:color w:val="C46F3C"/>
          <w:sz w:val="28"/>
        </w:rPr>
        <w:t>08  ANNUAL MEMBERSHIP MEETINGS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Bylaws §2.A governs the annual meeting timing; §2.C governs notice; §2.E governs membership quorum; §2.G governs proxies; §2.H governs action without a meeting.</w:t>
      </w:r>
    </w:p>
    <w:p>
      <w:pPr>
        <w:spacing w:before="260" w:after="100"/>
        <w:pBdr>
          <w:bottom w:val="single" w:sz="5" w:space="4" w:color="E6E1D8"/>
        </w:pBdr>
      </w:pPr>
      <w:r>
        <w:rPr>
          <w:rFonts w:ascii="Inter" w:hAnsi="Inter" w:eastAsia="Inter"/>
          <w:b/>
          <w:i w:val="0"/>
          <w:color w:val="C46F3C"/>
          <w:sz w:val="28"/>
        </w:rPr>
        <w:t>09  ENFORCEMENT, LEASING, AND ARCHITECTURAL MATTERS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Substantive enforcement authority and procedures must be drawn from the current Declaration, amendments (including the leasing amendment where applicable), Bylaws, adopted Board resolutions/rules, and current Georgia law. This Guide does not create a generic enforcement process that overrides a source-specific notice, cure, hearing, fine, lien, or collection requirement.</w:t>
      </w:r>
    </w:p>
    <w:p>
      <w:pPr>
        <w:spacing w:after="100" w:line="259" w:lineRule="auto"/>
        <w:jc w:val="both"/>
      </w:pPr>
      <w:r>
        <w:rPr>
          <w:rFonts w:ascii="Inter" w:hAnsi="Inter" w:eastAsia="Inter"/>
          <w:b w:val="0"/>
          <w:i w:val="0"/>
          <w:color w:val="292B29"/>
          <w:sz w:val="24"/>
        </w:rPr>
        <w:t>Operational referral and documentation responsibilities for management, committees, and individual Directors are addressed in the Management, Committee &amp; Delegation Policy.</w:t>
      </w:r>
    </w:p>
    <w:p>
      <w:pPr>
        <w:spacing w:before="260" w:after="100"/>
        <w:pBdr>
          <w:bottom w:val="single" w:sz="5" w:space="4" w:color="E6E1D8"/>
        </w:pBdr>
      </w:pPr>
      <w:r>
        <w:rPr>
          <w:rFonts w:ascii="Inter" w:hAnsi="Inter" w:eastAsia="Inter"/>
          <w:b/>
          <w:i w:val="0"/>
          <w:color w:val="C46F3C"/>
          <w:sz w:val="28"/>
        </w:rPr>
        <w:t>10  GEORGIA LAW STATUS NOTE</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As of August 11, 2026, Georgia Secretary of State guidance states that SB 406 (Georgia Property Owners' Bill of Rights Act) includes provisions effective July 1, 2026 and additional Owners' Association registration and owner-protection provisions effective January 1, 2027. Before relying on collection, lien, foreclosure, fine, fee, registration, or statutory due-process procedures, the Association should confirm the current law and implementation guidance.</w:t>
      </w:r>
    </w:p>
    <w:p>
      <w:pPr>
        <w:spacing w:before="260" w:after="100"/>
        <w:pBdr>
          <w:bottom w:val="single" w:sz="5" w:space="4" w:color="E6E1D8"/>
        </w:pBdr>
      </w:pPr>
      <w:r>
        <w:rPr>
          <w:rFonts w:ascii="Inter" w:hAnsi="Inter" w:eastAsia="Inter"/>
          <w:b/>
          <w:i w:val="0"/>
          <w:color w:val="C46F3C"/>
          <w:sz w:val="28"/>
        </w:rPr>
        <w:t>11  MAINTENANCE OF THIS GUIDE</w:t>
      </w:r>
      <w:r>
        <w:rPr>
          <w:rFonts w:ascii="Inter" w:hAnsi="Inter" w:eastAsia="Inter"/>
          <w:b/>
          <w:i w:val="0"/>
          <w:color w:val="24483B"/>
          <w:sz w:val="28"/>
        </w:rPr>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The Secretary should maintain the current version and source references.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 source-document amendment changes the legal rule whether or not this Guide has yet been updated.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This Guide should be reviewed after any Declaration/Bylaw amendment and at least annually for statutory changes.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Board-created policies are not reproduced here; they are cross-referenced by title.</w:t>
      </w:r>
    </w:p>
    <w:p>
      <w:pPr>
        <w:spacing w:before="100" w:after="100" w:line="259" w:lineRule="auto"/>
        <w:jc w:val="both"/>
      </w:pPr>
      <w:r>
        <w:rPr>
          <w:rFonts w:ascii="Inter" w:hAnsi="Inter" w:eastAsia="Inter"/>
          <w:b/>
          <w:i w:val="0"/>
          <w:color w:val="7A5943"/>
          <w:sz w:val="24"/>
        </w:rPr>
        <w:t>Current Related Board Policies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Meeting &amp; Administration Procedures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Financial Controls, Purchasing &amp; Payment Policy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Management, Committee &amp; Delegation Policy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Emergency, Transition &amp; Governance Administration Policy</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