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Management, Committee &amp; Delegation Policy</w:t>
      </w:r>
    </w:p>
    <w:p>
      <w:pPr>
        <w:spacing w:after="60"/>
        <w:jc w:val="both"/>
      </w:pPr>
      <w:r>
        <w:rPr>
          <w:rFonts w:ascii="Inter" w:hAnsi="Inter" w:eastAsia="Inter"/>
          <w:b w:val="0"/>
          <w:i w:val="0"/>
          <w:color w:val="7A5943"/>
          <w:sz w:val="24"/>
        </w:rPr>
        <w:t>Governance Policy  •  Draft Version 1.0  •  For Board Review</w:t>
      </w:r>
    </w:p>
    <w:p>
      <w:pPr>
        <w:spacing w:after="180"/>
        <w:pBdr>
          <w:bottom w:val="single" w:sz="6" w:space="4" w:color="E6E1D8"/>
        </w:pBdr>
        <w:jc w:val="both"/>
      </w:pPr>
      <w:r>
        <w:rPr>
          <w:rFonts w:ascii="Inter" w:hAnsi="Inter" w:eastAsia="Inter"/>
          <w:b w:val="0"/>
          <w:i w:val="0"/>
          <w:color w:val="4E514D"/>
          <w:sz w:val="24"/>
        </w:rPr>
        <w:t>Defines operational delegation and referral boundaries among the Board, management, Directors, Officers, and committees.</w:t>
      </w:r>
    </w:p>
    <w:p>
      <w:pPr>
        <w:spacing w:before="260" w:after="100"/>
        <w:pBdr>
          <w:bottom w:val="single" w:sz="5" w:space="4" w:color="E6E1D8"/>
        </w:pBdr>
      </w:pPr>
      <w:r>
        <w:rPr>
          <w:rFonts w:ascii="Inter" w:hAnsi="Inter"/>
          <w:b/>
          <w:i w:val="0"/>
          <w:color w:val="24483B"/>
          <w:sz w:val="28"/>
        </w:rPr>
        <w:t>CONTROLLING AUTHORITY</w:t>
      </w:r>
    </w:p>
    <w:p>
      <w:pPr>
        <w:spacing w:after="100" w:line="259" w:lineRule="auto"/>
        <w:jc w:val="both"/>
      </w:pPr>
      <w:r>
        <w:rPr>
          <w:rFonts w:ascii="Inter" w:hAnsi="Inter"/>
          <w:b w:val="0"/>
          <w:i w:val="0"/>
          <w:color w:val="292B29"/>
          <w:sz w:val="24"/>
        </w:rPr>
        <w:t>This document supplements the Association's Declaration, Articles of Incorporation, Bylaws, applicable Georgia law, and other controlling authority. If any provision conflicts with controlling authority, the controlling authority governs. Matters affecting legal rights, enforcement, collections, liens, foreclosure, or statutory compliance should be administered in consultation with Association counsel when appropriate.</w:t>
      </w:r>
    </w:p>
    <w:p>
      <w:pPr>
        <w:spacing w:before="260" w:after="100"/>
        <w:pBdr>
          <w:bottom w:val="single" w:sz="5" w:space="4" w:color="E6E1D8"/>
        </w:pBdr>
      </w:pPr>
      <w:r>
        <w:rPr>
          <w:rFonts w:ascii="Inter" w:hAnsi="Inter" w:eastAsia="Inter"/>
          <w:b/>
          <w:i w:val="0"/>
          <w:color w:val="C46F3C"/>
          <w:sz w:val="28"/>
        </w:rPr>
        <w:t>01  PURPOSE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Define how the Board delegates operational work to management, officers, individual Directors, and committees without recreating the substantive authority already established by the Declaration and Bylaws.</w:t>
      </w:r>
    </w:p>
    <w:p>
      <w:pPr>
        <w:spacing w:before="260" w:after="100"/>
        <w:pBdr>
          <w:bottom w:val="single" w:sz="5" w:space="4" w:color="E6E1D8"/>
        </w:pBdr>
      </w:pPr>
      <w:r>
        <w:rPr>
          <w:rFonts w:ascii="Inter" w:hAnsi="Inter" w:eastAsia="Inter"/>
          <w:b/>
          <w:i w:val="0"/>
          <w:color w:val="C46F3C"/>
          <w:sz w:val="28"/>
        </w:rPr>
        <w:t>02  COLLECTIVE BOARD AUTHORITY</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Board acts collectively. Individual Directors and Officers may exercise authority assigned by the governing documents or specifically delegated by the Board. No individual Director may represent personal direction as a Board decision.</w:t>
      </w:r>
    </w:p>
    <w:p>
      <w:pPr>
        <w:spacing w:before="260" w:after="100"/>
        <w:pBdr>
          <w:bottom w:val="single" w:sz="5" w:space="4" w:color="E6E1D8"/>
        </w:pBdr>
      </w:pPr>
      <w:r>
        <w:rPr>
          <w:rFonts w:ascii="Inter" w:hAnsi="Inter" w:eastAsia="Inter"/>
          <w:b/>
          <w:i w:val="0"/>
          <w:color w:val="C46F3C"/>
          <w:sz w:val="28"/>
        </w:rPr>
        <w:t>03  INDIVIDUAL DIRECTOR ACTIVITIES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Unless otherwise authorized, an individual Director may: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Gather information and ask questions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Request records and clarification from management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Make recommendations and request agenda items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Perform tasks specifically assigned by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Carry out routine officer duties within approved authority</w:t>
      </w:r>
    </w:p>
    <w:p>
      <w:pPr>
        <w:spacing w:after="100" w:line="259" w:lineRule="auto"/>
        <w:jc w:val="both"/>
      </w:pPr>
      <w:r>
        <w:rPr>
          <w:rFonts w:ascii="Inter" w:hAnsi="Inter" w:eastAsia="Inter"/>
          <w:b w:val="0"/>
          <w:i w:val="0"/>
          <w:color w:val="292B29"/>
          <w:sz w:val="24"/>
        </w:rPr>
        <w:t>Without Board or governing-document authority, an individual Director or Officer may not: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Enter or materially change a contract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 Association funds outside delegated financial authority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Waive assessments, fines, fees, or material Association claims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Promise an Owner an exception, non-enforcement result, or Board outcome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Create or change Association policy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Terminate a vendor or materially change a vendor's scope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Start or settle material litigation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Override an enforcement or architectural decision of the authorized decision-maker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Open or close accounts or change banking authority</w:t>
      </w:r>
    </w:p>
    <w:p>
      <w:pPr>
        <w:spacing w:before="260" w:after="100"/>
        <w:pBdr>
          <w:bottom w:val="single" w:sz="5" w:space="4" w:color="E6E1D8"/>
        </w:pBdr>
      </w:pPr>
      <w:r>
        <w:rPr>
          <w:rFonts w:ascii="Inter" w:hAnsi="Inter" w:eastAsia="Inter"/>
          <w:b/>
          <w:i w:val="0"/>
          <w:color w:val="C46F3C"/>
          <w:sz w:val="28"/>
        </w:rPr>
        <w:t>04  MANAGEMENT ADMINISTRATION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Subject to the active management agreement and Board direction, management may administer routine operations such as accounting, authorized invoices, assessment processing, Owner communications, records administration, vendor coordination, meeting preparation, and covenant administration under adopted policy.</w:t>
      </w:r>
    </w:p>
    <w:p>
      <w:pPr>
        <w:spacing w:before="260" w:after="100"/>
        <w:pBdr>
          <w:bottom w:val="single" w:sz="5" w:space="4" w:color="E6E1D8"/>
        </w:pBdr>
      </w:pPr>
      <w:r>
        <w:rPr>
          <w:rFonts w:ascii="Inter" w:hAnsi="Inter" w:eastAsia="Inter"/>
          <w:b/>
          <w:i w:val="0"/>
          <w:color w:val="C46F3C"/>
          <w:sz w:val="28"/>
        </w:rPr>
        <w:t>05  MATTERS REQUIRING BOARD REFERRAL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Unless authority has been specifically delegated, management should refer the following to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New or changed Association policy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Unbudgeted spending or reserve use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contracts and material change orders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waivers or settlements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Novel or disputed enforcement interpretations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Novel or disputed architectural interpretations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Borrowing or banking changes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legal strategy, litigation, settlement, subpoenas, regulatory inquiries, or significant claims</w:t>
      </w:r>
    </w:p>
    <w:p>
      <w:pPr>
        <w:spacing w:before="260" w:after="100"/>
        <w:pBdr>
          <w:bottom w:val="single" w:sz="5" w:space="4" w:color="E6E1D8"/>
        </w:pBdr>
      </w:pPr>
      <w:r>
        <w:rPr>
          <w:rFonts w:ascii="Inter" w:hAnsi="Inter" w:eastAsia="Inter"/>
          <w:b/>
          <w:i w:val="0"/>
          <w:color w:val="C46F3C"/>
          <w:sz w:val="28"/>
        </w:rPr>
        <w:t>06  BOARD-MANAGEMENT COMMUNICATIONS</w:t>
      </w:r>
      <w:r>
        <w:rPr>
          <w:rFonts w:ascii="Inter" w:hAnsi="Inter" w:eastAsia="Inter"/>
          <w:b/>
          <w:i w:val="0"/>
          <w:color w:val="24483B"/>
          <w:sz w:val="28"/>
        </w:rPr>
      </w:r>
    </w:p>
    <w:p>
      <w:pPr>
        <w:spacing w:after="100" w:line="259" w:lineRule="auto"/>
        <w:jc w:val="both"/>
      </w:pPr>
      <w:r>
        <w:rPr>
          <w:rFonts w:ascii="Inter" w:hAnsi="Inter"/>
          <w:b w:val="0"/>
          <w:i w:val="0"/>
          <w:color w:val="292B29"/>
          <w:sz w:val="24"/>
        </w:rPr>
        <w:t>A primary Board contact may be designated for administrative efficiency. Material information reasonably necessary for Board oversight should be made available to the Board, subject to confidentiality requirements, the governing documents, and any lawful delegation of responsibility. Management may communicate directly with Officers or delegated Directors for routine matters within their assigned responsibilities.</w:t>
      </w:r>
    </w:p>
    <w:p>
      <w:pPr>
        <w:spacing w:before="260" w:after="100"/>
        <w:pBdr>
          <w:bottom w:val="single" w:sz="5" w:space="4" w:color="E6E1D8"/>
        </w:pBdr>
      </w:pPr>
      <w:r>
        <w:rPr>
          <w:rFonts w:ascii="Inter" w:hAnsi="Inter" w:eastAsia="Inter"/>
          <w:b/>
          <w:i w:val="0"/>
          <w:color w:val="C46F3C"/>
          <w:sz w:val="28"/>
        </w:rPr>
        <w:t>07  COMMITTEES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Each material committee should have a documented purpose, membership structure, reporting relationship, and delegated authority. Unless the Board or governing documents expressly provide otherwise, a committee does not independently bind the Association, commit funds, execute contracts, or create Association policy.</w:t>
      </w:r>
    </w:p>
    <w:p>
      <w:pPr>
        <w:spacing w:after="100" w:line="259" w:lineRule="auto"/>
        <w:jc w:val="both"/>
      </w:pPr>
      <w:r>
        <w:rPr>
          <w:rFonts w:ascii="Inter" w:hAnsi="Inter" w:eastAsia="Inter"/>
          <w:b w:val="0"/>
          <w:i w:val="0"/>
          <w:color w:val="292B29"/>
          <w:sz w:val="24"/>
        </w:rPr>
        <w:t>Architectural matters should use the governing-document terminology Design Review Committee / Development Review Committee (DRC) and remain within the authority granted by the Declaration, Bylaws, and any valid Board delegation.</w:t>
      </w:r>
    </w:p>
    <w:p>
      <w:pPr>
        <w:spacing w:before="260" w:after="100"/>
        <w:pBdr>
          <w:bottom w:val="single" w:sz="5" w:space="4" w:color="E6E1D8"/>
        </w:pBdr>
      </w:pPr>
      <w:r>
        <w:rPr>
          <w:rFonts w:ascii="Inter" w:hAnsi="Inter" w:eastAsia="Inter"/>
          <w:b/>
          <w:i w:val="0"/>
          <w:color w:val="C46F3C"/>
          <w:sz w:val="28"/>
        </w:rPr>
        <w:t>08  ENFORCEMENT ADMINISTRATION</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Substantive enforcement standards, notices, cure periods, hearings, fines, liens, and collection rights are governed by the applicable Declaration provisions, amendments, adopted resolutions, and current law. Management and committees should document the issue, identify the controlling authority, follow the applicable process, and refer matters requiring Board discretion to the Board.</w:t>
      </w:r>
    </w:p>
    <w:p>
      <w:pPr>
        <w:spacing w:after="100" w:line="259" w:lineRule="auto"/>
        <w:jc w:val="both"/>
      </w:pPr>
      <w:r>
        <w:rPr>
          <w:rFonts w:ascii="Inter" w:hAnsi="Inter" w:eastAsia="Inter"/>
          <w:b w:val="0"/>
          <w:i w:val="0"/>
          <w:color w:val="292B29"/>
          <w:sz w:val="24"/>
        </w:rPr>
        <w:t>No individual Director may independently dismiss a violation, waive a fine or assessment, promise non-enforcement, or create an exception unless expressly authorized.</w:t>
      </w:r>
    </w:p>
    <w:p>
      <w:pPr>
        <w:spacing w:before="260" w:after="100"/>
        <w:pBdr>
          <w:bottom w:val="single" w:sz="5" w:space="4" w:color="E6E1D8"/>
        </w:pBdr>
      </w:pPr>
      <w:r>
        <w:rPr>
          <w:rFonts w:ascii="Inter" w:hAnsi="Inter" w:eastAsia="Inter"/>
          <w:b/>
          <w:i w:val="0"/>
          <w:color w:val="C46F3C"/>
          <w:sz w:val="28"/>
        </w:rPr>
        <w:t>09  LEGAL COUNSEL AND CLAIMS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Association counsel represents the Association. The Board may designate practical contacts for routine legal administration, but material legal strategy, litigation, and settlement remain Board matters unless authority has been specifically delegated or immediate emergency action is required. Potential claims, subpoenas, litigation threats, regulatory inquiries, and material demands should be routed promptly to the Board and, when appropriate, counsel and the insurer.</w:t>
      </w:r>
    </w:p>
    <w:p>
      <w:pPr>
        <w:spacing w:before="260" w:after="100"/>
        <w:pBdr>
          <w:bottom w:val="single" w:sz="5" w:space="4" w:color="E6E1D8"/>
        </w:pBdr>
      </w:pPr>
      <w:r>
        <w:rPr>
          <w:rFonts w:ascii="Inter" w:hAnsi="Inter" w:eastAsia="Inter"/>
          <w:b/>
          <w:i w:val="0"/>
          <w:color w:val="C46F3C"/>
          <w:sz w:val="28"/>
        </w:rPr>
        <w:t>10  AMENDMENT AND VERSION CONTROL</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Financial approval thresholds and purchasing rules are not repeated here; they are governed by the Financial Controls, Purchasing &amp; Payment Policy. Meeting notice, quorum, voting, and officer powers are not repeated here; they are summarized in the Governance Reference Guide from the controlling Bylaws.</w:t>
      </w: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____________________     Effective: ____________________     Version: 1.0</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