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100"/>
        <w:jc w:val="both"/>
      </w:pPr>
      <w:r>
        <w:rPr>
          <w:rFonts w:ascii="Inter" w:hAnsi="Inter" w:eastAsia="Inter"/>
          <w:b/>
          <w:i w:val="0"/>
          <w:color w:val="24483B"/>
          <w:sz w:val="44"/>
        </w:rPr>
        <w:t>Emergency, Transition &amp; Governance Administration Policy</w:t>
      </w:r>
    </w:p>
    <w:p>
      <w:pPr>
        <w:spacing w:after="60"/>
        <w:jc w:val="both"/>
      </w:pPr>
      <w:r>
        <w:rPr>
          <w:rFonts w:ascii="Inter" w:hAnsi="Inter" w:eastAsia="Inter"/>
          <w:b w:val="0"/>
          <w:i w:val="0"/>
          <w:color w:val="7A5943"/>
          <w:sz w:val="24"/>
        </w:rPr>
        <w:t>Governance Administration Policy  •  Draft Version 1.0  •  For Board Review</w:t>
      </w:r>
    </w:p>
    <w:p>
      <w:pPr>
        <w:spacing w:after="180"/>
        <w:pBdr>
          <w:bottom w:val="single" w:sz="6" w:space="4" w:color="E6E1D8"/>
        </w:pBdr>
        <w:jc w:val="both"/>
      </w:pPr>
      <w:r>
        <w:rPr>
          <w:rFonts w:ascii="Inter" w:hAnsi="Inter" w:eastAsia="Inter"/>
          <w:b w:val="0"/>
          <w:i w:val="0"/>
          <w:color w:val="4E514D"/>
          <w:sz w:val="24"/>
        </w:rPr>
        <w:t>Procedure for emergency stabilization, leadership transitions, Director onboarding, and annual governance review.</w:t>
      </w:r>
    </w:p>
    <w:p>
      <w:pPr>
        <w:spacing w:before="260" w:after="100"/>
        <w:pBdr>
          <w:bottom w:val="single" w:sz="5" w:space="4" w:color="E6E1D8"/>
        </w:pBdr>
      </w:pPr>
      <w:r>
        <w:rPr>
          <w:rFonts w:ascii="Inter" w:hAnsi="Inter"/>
          <w:b/>
          <w:i w:val="0"/>
          <w:color w:val="24483B"/>
          <w:sz w:val="28"/>
        </w:rPr>
        <w:t>CONTROLLING AUTHORITY</w:t>
      </w:r>
    </w:p>
    <w:p>
      <w:pPr>
        <w:spacing w:after="100" w:line="259" w:lineRule="auto"/>
        <w:jc w:val="both"/>
      </w:pPr>
      <w:r>
        <w:rPr>
          <w:rFonts w:ascii="Inter" w:hAnsi="Inter"/>
          <w:b w:val="0"/>
          <w:i w:val="0"/>
          <w:color w:val="292B29"/>
          <w:sz w:val="24"/>
        </w:rPr>
        <w:t>This document supplements the Association's Declaration, Articles of Incorporation, Bylaws, applicable Georgia law, and other controlling authority. If any provision conflicts with controlling authority, the controlling authority governs. Matters affecting legal rights, enforcement, collections, liens, foreclosure, or statutory compliance should be administered in consultation with Association counsel when appropriate.</w:t>
      </w:r>
    </w:p>
    <w:p>
      <w:pPr>
        <w:spacing w:before="260" w:after="100"/>
        <w:pBdr>
          <w:bottom w:val="single" w:sz="5" w:space="4" w:color="E6E1D8"/>
        </w:pBdr>
      </w:pPr>
      <w:r>
        <w:rPr>
          <w:rFonts w:ascii="Inter" w:hAnsi="Inter" w:eastAsia="Inter"/>
          <w:b/>
          <w:i w:val="0"/>
          <w:color w:val="C46F3C"/>
          <w:sz w:val="28"/>
        </w:rPr>
        <w:t>01  PURPOSE</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Establish a single Board-created procedure for emergency stabilization, Director/officer turnover, new-Director onboarding, and the annual governance review.</w:t>
      </w:r>
    </w:p>
    <w:p>
      <w:pPr>
        <w:spacing w:before="260" w:after="100"/>
        <w:pBdr>
          <w:bottom w:val="single" w:sz="5" w:space="4" w:color="E6E1D8"/>
        </w:pBdr>
      </w:pPr>
      <w:r>
        <w:rPr>
          <w:rFonts w:ascii="Inter" w:hAnsi="Inter" w:eastAsia="Inter"/>
          <w:b/>
          <w:i w:val="0"/>
          <w:color w:val="C46F3C"/>
          <w:sz w:val="28"/>
        </w:rPr>
        <w:t>02  EMERGENCY STABILIZATION</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When delay could reasonably threaten life or safety, Common Property, essential services, or cause imminent material financial loss, a previously authorized Officer, Director, or management representative may take only the action reasonably necessary to stabilize the situation within the authority granted by the Board, governing documents, active management agreement, or law.</w:t>
      </w:r>
    </w:p>
    <w:p>
      <w:pPr>
        <w:spacing w:after="100" w:line="259" w:lineRule="auto"/>
        <w:jc w:val="both"/>
      </w:pPr>
      <w:r>
        <w:rPr>
          <w:rFonts w:ascii="Inter" w:hAnsi="Inter" w:eastAsia="Inter"/>
          <w:b w:val="0"/>
          <w:i w:val="0"/>
          <w:color w:val="292B29"/>
          <w:sz w:val="24"/>
        </w:rPr>
        <w:t>Emergency authority is not a convenience exception to ordinary approvals. The person acting should:</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Use only the level of action reasonably necessary to stabilize the condition</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Make reasonable efforts to contact an authorized Board representative when circumstances permit</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Notify all Directors promptly after action is taken</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Document the condition, action, vendor, cost or expected cost, and reason ordinary approval could not reasonably be obtained</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Present the matter for Board review and ratification when ratification is appropriate</w:t>
      </w:r>
    </w:p>
    <w:p>
      <w:pPr>
        <w:spacing w:after="100" w:line="259" w:lineRule="auto"/>
        <w:jc w:val="both"/>
      </w:pPr>
      <w:r>
        <w:rPr>
          <w:rFonts w:ascii="Inter" w:hAnsi="Inter" w:eastAsia="Inter"/>
          <w:b w:val="0"/>
          <w:i w:val="0"/>
          <w:color w:val="292B29"/>
          <w:sz w:val="24"/>
        </w:rPr>
        <w:t>Payment and accounting treatment of emergency expenses are governed by the Financial Controls, Purchasing &amp; Payment Policy.</w:t>
      </w:r>
    </w:p>
    <w:p>
      <w:pPr>
        <w:spacing w:before="260" w:after="100"/>
        <w:pBdr>
          <w:bottom w:val="single" w:sz="5" w:space="4" w:color="E6E1D8"/>
        </w:pBdr>
      </w:pPr>
      <w:r>
        <w:rPr>
          <w:rFonts w:ascii="Inter" w:hAnsi="Inter" w:eastAsia="Inter"/>
          <w:b/>
          <w:i w:val="0"/>
          <w:color w:val="C46F3C"/>
          <w:sz w:val="28"/>
        </w:rPr>
        <w:t>03  OUTGOING DIRECTOR AND OFFICER TRANSITION</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Upon leaving office or a delegated role, a Director or Officer should promptly return or transfer Association property and information in the person's possession or control, including as applicable:</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Association records and correspondence</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Keys, access cards, devices, and physical property</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Passwords, credentials, and administrative access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Financial information and banking-related material</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Contracts, proposals, and vendor records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Electronic files and cloud-storage records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Pending-action lists and material status information</w:t>
      </w:r>
    </w:p>
    <w:p>
      <w:pPr>
        <w:spacing w:before="260" w:after="100"/>
        <w:pBdr>
          <w:bottom w:val="single" w:sz="5" w:space="4" w:color="E6E1D8"/>
        </w:pBdr>
      </w:pPr>
      <w:r>
        <w:rPr>
          <w:rFonts w:ascii="Inter" w:hAnsi="Inter" w:eastAsia="Inter"/>
          <w:b/>
          <w:i w:val="0"/>
          <w:color w:val="C46F3C"/>
          <w:sz w:val="28"/>
        </w:rPr>
        <w:t>04  NEW DIRECTOR ONBOARDING</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New Directors should receive or be given access to the current:</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Declaration and amendments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Bylaws and Articles of Incorporation</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Board Governance Reference Guide</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Current Board-adopted policies and resolutions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Approved budget and recent financial statements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Reserve information and current reserve study, if any</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Material contracts and management agreement</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Insurance information</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Committee/DRC information</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Board calendar, current meeting schedule, and needed access credentials</w:t>
      </w:r>
    </w:p>
    <w:p>
      <w:pPr>
        <w:spacing w:before="260" w:after="100"/>
        <w:pBdr>
          <w:bottom w:val="single" w:sz="5" w:space="4" w:color="E6E1D8"/>
        </w:pBdr>
      </w:pPr>
      <w:r>
        <w:rPr>
          <w:rFonts w:ascii="Inter" w:hAnsi="Inter" w:eastAsia="Inter"/>
          <w:b/>
          <w:i w:val="0"/>
          <w:color w:val="C46F3C"/>
          <w:sz w:val="28"/>
        </w:rPr>
        <w:t>05  ANNUAL GOVERNANCE REVIEW</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At least annually, the Board should review the following governance-administration items: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Current Board size and officer assignments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Board policy version register</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Budget, reserves, and financial controls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Bank signers and electronic access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Insurance coverage and renewal status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Management performance and active management agreement</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Material contracts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Annual financial review status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Committee and DRC appointments/delegations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Enforcement and architectural procedure references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Records practices and access controls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Material changes in Georgia law and Secretary of State requirements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Whether the Board Governance Reference Guide requires an administrative update</w:t>
      </w:r>
    </w:p>
    <w:p>
      <w:pPr>
        <w:spacing w:before="260" w:after="100"/>
        <w:pBdr>
          <w:bottom w:val="single" w:sz="5" w:space="4" w:color="E6E1D8"/>
        </w:pBdr>
      </w:pPr>
      <w:r>
        <w:rPr>
          <w:rFonts w:ascii="Inter" w:hAnsi="Inter" w:eastAsia="Inter"/>
          <w:b/>
          <w:i w:val="0"/>
          <w:color w:val="C46F3C"/>
          <w:sz w:val="28"/>
        </w:rPr>
        <w:t>06  LEGAL-CHANGE MONITORING</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The Board should maintain awareness of statutory changes affecting Georgia Owners' Associations. The Governance Reference Guide, rather than this policy, should contain dated summaries of current legal requirements so statutory changes do not require amendment of this operating policy.</w:t>
      </w:r>
    </w:p>
    <w:p>
      <w:pPr>
        <w:spacing w:before="260" w:after="100"/>
        <w:pBdr>
          <w:bottom w:val="single" w:sz="5" w:space="4" w:color="E6E1D8"/>
        </w:pBdr>
      </w:pPr>
      <w:r>
        <w:rPr>
          <w:rFonts w:ascii="Inter" w:hAnsi="Inter" w:eastAsia="Inter"/>
          <w:b/>
          <w:i w:val="0"/>
          <w:color w:val="C46F3C"/>
          <w:sz w:val="28"/>
        </w:rPr>
        <w:t>07  AMENDMENT AND VERSION CONTROL</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This policy should be amended only when the Board changes its emergency, transition, onboarding, or annual governance-review procedures.</w:t>
      </w:r>
    </w:p>
    <w:p>
      <w:pPr>
        <w:spacing w:before="260" w:after="100"/>
        <w:pBdr>
          <w:bottom w:val="single" w:sz="5" w:space="4" w:color="E6E1D8"/>
        </w:pBdr>
      </w:pPr>
      <w:r>
        <w:rPr>
          <w:rFonts w:ascii="Inter" w:hAnsi="Inter" w:eastAsia="Inter"/>
          <w:b/>
          <w:i w:val="0"/>
          <w:color w:val="24483B"/>
          <w:sz w:val="28"/>
        </w:rPr>
        <w:t>BOARD APPROVAL</w:t>
      </w:r>
    </w:p>
    <w:p>
      <w:pPr>
        <w:spacing w:after="100" w:line="259" w:lineRule="auto"/>
        <w:jc w:val="both"/>
      </w:pPr>
      <w:r>
        <w:rPr>
          <w:rFonts w:ascii="Inter" w:hAnsi="Inter" w:eastAsia="Inter"/>
          <w:b w:val="0"/>
          <w:i w:val="0"/>
          <w:color w:val="6D6A63"/>
          <w:sz w:val="24"/>
        </w:rPr>
        <w:t>Adopted: ____________________     Effective: ____________________     Version: 1.0</w:t>
      </w:r>
    </w:p>
    <w:sectPr w:rsidR="00FC693F" w:rsidRPr="0006063C" w:rsidSect="00034616">
      <w:headerReference w:type="default" r:id="rId9"/>
      <w:footerReference w:type="default" r:id="rId10"/>
      <w:pgSz w:w="12240" w:h="15840"/>
      <w:pgMar w:top="936" w:right="1152" w:bottom="864"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Inter" w:hAnsi="Inter" w:eastAsia="Inter"/>
        <w:b w:val="0"/>
        <w:i w:val="0"/>
        <w:color w:val="6D6A63"/>
        <w:sz w:val="24"/>
      </w:rPr>
      <w:t>Lakes of White Oak Community Association  •  Governance Document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10" w:space="4" w:color="C46F3C"/>
      </w:pBdr>
    </w:pPr>
    <w:r>
      <w:rPr>
        <w:rFonts w:ascii="Inter" w:hAnsi="Inter" w:eastAsia="Inter"/>
        <w:b/>
        <w:i w:val="0"/>
        <w:color w:val="24483B"/>
        <w:sz w:val="24"/>
      </w:rPr>
      <w:t>LAKES OF WHITE OAK COMMUNITY ASSOCIATION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Inter" w:hAnsi="Inter" w:eastAsia="Inter"/>
      <w:color w:val="292B29"/>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Inter" w:hAnsi="Inter"/>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Inter" w:hAnsi="Inter"/>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Inter" w:hAnsi="Inter"/>
      <w:b/>
      <w:bCs/>
      <w:color w:val="4F81BD" w:themeColor="accent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Inter" w:hAnsi="Inter"/>
      <w:b/>
      <w:bCs/>
      <w:i/>
      <w:iCs/>
      <w:color w:val="4F81BD" w:themeColor="accent1"/>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Inter" w:hAnsi="Inter"/>
      <w:color w:val="243F60" w:themeColor="accent1" w:themeShade="7F"/>
      <w:sz w:val="24"/>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Inter" w:hAnsi="Inter"/>
      <w:i/>
      <w:iCs/>
      <w:color w:val="243F60" w:themeColor="accent1" w:themeShade="7F"/>
      <w:sz w:val="24"/>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Inter" w:hAnsi="Inter"/>
      <w:i/>
      <w:iCs/>
      <w:color w:val="404040" w:themeColor="text1" w:themeTint="BF"/>
      <w:sz w:val="24"/>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Inter" w:hAnsi="Inter"/>
      <w:color w:val="4F81BD" w:themeColor="accent1"/>
      <w:sz w:val="24"/>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Inter" w:hAnsi="Inter"/>
      <w:i/>
      <w:iCs/>
      <w:color w:val="404040" w:themeColor="text1" w:themeTint="BF"/>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Inter" w:hAnsi="Inter"/>
      <w:sz w:val="24"/>
    </w:rPr>
  </w:style>
  <w:style w:type="paragraph" w:styleId="BodyText">
    <w:name w:val="Body Text"/>
    <w:basedOn w:val="Normal"/>
    <w:link w:val="BodyTextChar"/>
    <w:uiPriority w:val="99"/>
    <w:unhideWhenUsed/>
    <w:rsid w:val="00AA1D8D"/>
    <w:pPr>
      <w:spacing w:after="120"/>
    </w:pPr>
    <w:rPr>
      <w:rFonts w:ascii="Inter" w:hAnsi="Inter"/>
      <w:sz w:val="24"/>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24"/>
      <w:szCs w:val="16"/>
    </w:rPr>
  </w:style>
  <w:style w:type="character" w:customStyle="1" w:styleId="BodyText3Char">
    <w:name w:val="Body Text 3 Char"/>
    <w:basedOn w:val="DefaultParagraphFont"/>
    <w:link w:val="BodyText3"/>
    <w:uiPriority w:val="99"/>
    <w:rsid w:val="00AA1D8D"/>
    <w:rPr>
      <w:sz w:val="24"/>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4"/>
      <w:szCs w:val="20"/>
    </w:rPr>
  </w:style>
  <w:style w:type="character" w:customStyle="1" w:styleId="MacroTextChar">
    <w:name w:val="Macro Text Char"/>
    <w:basedOn w:val="DefaultParagraphFont"/>
    <w:link w:val="MacroText"/>
    <w:uiPriority w:val="99"/>
    <w:rsid w:val="0029639D"/>
    <w:rPr>
      <w:rFonts w:ascii="Courier" w:hAnsi="Courier"/>
      <w:sz w:val="24"/>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4"/>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4"/>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24"/>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Inter" w:hAnsi="Inte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