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100"/>
        <w:jc w:val="both"/>
      </w:pPr>
      <w:r>
        <w:rPr>
          <w:rFonts w:ascii="Inter" w:hAnsi="Inter" w:eastAsia="Inter"/>
          <w:b/>
          <w:i w:val="0"/>
          <w:color w:val="24483B"/>
          <w:sz w:val="44"/>
        </w:rPr>
        <w:t>Financial Controls, Purchasing &amp; Payment Policy</w:t>
      </w:r>
    </w:p>
    <w:p>
      <w:pPr>
        <w:spacing w:after="60"/>
        <w:jc w:val="both"/>
      </w:pPr>
      <w:r>
        <w:rPr>
          <w:rFonts w:ascii="Inter" w:hAnsi="Inter" w:eastAsia="Inter"/>
          <w:b w:val="0"/>
          <w:i w:val="0"/>
          <w:color w:val="7A5943"/>
          <w:sz w:val="24"/>
        </w:rPr>
        <w:t>Financial Governance Policy  •  Draft Version 1.0  •  For Board Review</w:t>
      </w:r>
    </w:p>
    <w:p>
      <w:pPr>
        <w:spacing w:after="180"/>
        <w:pBdr>
          <w:bottom w:val="single" w:sz="6" w:space="4" w:color="E6E1D8"/>
        </w:pBdr>
        <w:jc w:val="both"/>
      </w:pPr>
      <w:r>
        <w:rPr>
          <w:rFonts w:ascii="Inter" w:hAnsi="Inter" w:eastAsia="Inter"/>
          <w:b w:val="0"/>
          <w:i w:val="0"/>
          <w:color w:val="4E514D"/>
          <w:sz w:val="24"/>
        </w:rPr>
        <w:t>Single Board policy for financial reporting, purchasing, vendor selection, invoice controls, reserves, banking, and electronic-payment safeguards.</w:t>
      </w:r>
    </w:p>
    <w:p>
      <w:pPr>
        <w:spacing w:before="260" w:after="100"/>
        <w:pBdr>
          <w:bottom w:val="single" w:sz="5" w:space="4" w:color="E6E1D8"/>
        </w:pBdr>
      </w:pPr>
      <w:r>
        <w:rPr>
          <w:rFonts w:ascii="Inter" w:hAnsi="Inter"/>
          <w:b/>
          <w:i w:val="0"/>
          <w:color w:val="24483B"/>
          <w:sz w:val="28"/>
        </w:rPr>
        <w:t>CONTROLLING AUTHORITY</w:t>
      </w:r>
    </w:p>
    <w:p>
      <w:pPr>
        <w:spacing w:after="100" w:line="259" w:lineRule="auto"/>
        <w:jc w:val="both"/>
      </w:pPr>
      <w:r>
        <w:rPr>
          <w:rFonts w:ascii="Inter" w:hAnsi="Inter"/>
          <w:b w:val="0"/>
          <w:i w:val="0"/>
          <w:color w:val="292B29"/>
          <w:sz w:val="24"/>
        </w:rPr>
        <w:t>This document supplements the Association's Declaration, Articles of Incorporation, Bylaws, applicable Georgia law, and other controlling authority. If any provision conflicts with controlling authority, the controlling authority governs. Matters affecting legal rights, enforcement, collections, liens, foreclosure, or statutory compliance should be administered in consultation with Association counsel when appropriate.</w:t>
      </w:r>
    </w:p>
    <w:p>
      <w:pPr>
        <w:spacing w:before="260" w:after="100"/>
        <w:pBdr>
          <w:bottom w:val="single" w:sz="5" w:space="4" w:color="E6E1D8"/>
        </w:pBdr>
      </w:pPr>
      <w:r>
        <w:rPr>
          <w:rFonts w:ascii="Inter" w:hAnsi="Inter" w:eastAsia="Inter"/>
          <w:b/>
          <w:i w:val="0"/>
          <w:color w:val="C46F3C"/>
          <w:sz w:val="28"/>
        </w:rPr>
        <w:t>01  PURPOSE AND SCOPE</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Establish a single authoritative Board policy for financial reporting, purchasing, vendor selection, invoice/payment controls, reserve activity, change orders, banking authority, and electronic-payment safeguards. The Bylaws, Declaration, approved budget, active contracts, banking agreements, and management agreement remain controlling where applicable.</w:t>
      </w:r>
    </w:p>
    <w:p>
      <w:pPr>
        <w:spacing w:before="260" w:after="100"/>
        <w:pBdr>
          <w:bottom w:val="single" w:sz="5" w:space="4" w:color="E6E1D8"/>
        </w:pBdr>
      </w:pPr>
      <w:r>
        <w:rPr>
          <w:rFonts w:ascii="Inter" w:hAnsi="Inter" w:eastAsia="Inter"/>
          <w:b/>
          <w:i w:val="0"/>
          <w:color w:val="C46F3C"/>
          <w:sz w:val="28"/>
        </w:rPr>
        <w:t>02  ROLES</w:t>
      </w:r>
      <w:r>
        <w:rPr>
          <w:rFonts w:ascii="Inter" w:hAnsi="Inter" w:eastAsia="Inter"/>
          <w:b/>
          <w:i w:val="0"/>
          <w:color w:val="24483B"/>
          <w:sz w:val="28"/>
        </w:rPr>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Board: authorizes policy, budget, material commitments, reserve use, banking authority, and other matters reserved to the Board.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Treasurer: reviews financial information, reports material issues to the Board, and performs the duties assigned by the Bylaws.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Management: administers accounting and payments within authority granted by the Board and the active management agreement.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Individual Directors: may gather information or quotations when assigned, but may not independently bind the Association unless specifically authorized.</w:t>
      </w:r>
    </w:p>
    <w:p>
      <w:pPr>
        <w:spacing w:before="260" w:after="100"/>
        <w:pBdr>
          <w:bottom w:val="single" w:sz="5" w:space="4" w:color="E6E1D8"/>
        </w:pBdr>
      </w:pPr>
      <w:r>
        <w:rPr>
          <w:rFonts w:ascii="Inter" w:hAnsi="Inter" w:eastAsia="Inter"/>
          <w:b/>
          <w:i w:val="0"/>
          <w:color w:val="C46F3C"/>
          <w:sz w:val="28"/>
        </w:rPr>
        <w:t>03  REGULAR FINANCIAL PACKAGE</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Eligible Directors should receive materially the same regular financial package, subject to appropriate confidentiality. The package should include, as applicable: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Balance sheet and income/expense statement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Budget-to-actual comparison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Operating and reserve account balances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Bank reconciliations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Accounts payable and significant obligations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Assessment delinquency summary with appropriate confidentiality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Reserve activity and transfers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Unusual or out-of-pattern transactions</w:t>
      </w:r>
    </w:p>
    <w:p>
      <w:pPr>
        <w:spacing w:before="260" w:after="100"/>
        <w:pBdr>
          <w:bottom w:val="single" w:sz="5" w:space="4" w:color="E6E1D8"/>
        </w:pBdr>
      </w:pPr>
      <w:r>
        <w:rPr>
          <w:rFonts w:ascii="Inter" w:hAnsi="Inter" w:eastAsia="Inter"/>
          <w:b/>
          <w:i w:val="0"/>
          <w:color w:val="C46F3C"/>
          <w:sz w:val="28"/>
        </w:rPr>
        <w:t>04  ROUTINE BUDGETED INVOICES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A separate Board vote is not required for each routine invoice when the expenditure is authorized by the approved budget, an existing Board-approved contract, or other Board-approved authority and the invoice matches the authorized scope and amount.</w:t>
      </w:r>
    </w:p>
    <w:p>
      <w:pPr>
        <w:spacing w:after="100" w:line="259" w:lineRule="auto"/>
        <w:jc w:val="both"/>
      </w:pPr>
      <w:r>
        <w:rPr>
          <w:rFonts w:ascii="Inter" w:hAnsi="Inter" w:eastAsia="Inter"/>
          <w:b w:val="0"/>
          <w:i w:val="0"/>
          <w:color w:val="292B29"/>
          <w:sz w:val="24"/>
        </w:rPr>
        <w:t>For physical maintenance, repair, installation, or construction work, completion or the applicable payment milestone should be reasonably verified before payment when practicable. Physical inspection is not required for utilities, insurance, taxes, professional services, subscriptions, recurring management fees, approved deposits, or other items for which inspection is not reasonably applicable.</w:t>
      </w:r>
    </w:p>
    <w:p>
      <w:pPr>
        <w:spacing w:before="260" w:after="100"/>
        <w:pBdr>
          <w:bottom w:val="single" w:sz="5" w:space="4" w:color="E6E1D8"/>
        </w:pBdr>
      </w:pPr>
      <w:r>
        <w:rPr>
          <w:rFonts w:ascii="Inter" w:hAnsi="Inter" w:eastAsia="Inter"/>
          <w:b/>
          <w:i w:val="0"/>
          <w:color w:val="C46F3C"/>
          <w:sz w:val="28"/>
        </w:rPr>
        <w:t>05  UNBUDGETED EXPENDITURES AND RESERVE ACTIVITY</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Except for authorized emergency action, no person may commit the Association to an unbudgeted expenditure, reserve expenditure, or reserve-to-operating transfer without Board approval or other authority expressly granted by Board resolution.</w:t>
      </w:r>
    </w:p>
    <w:p>
      <w:pPr>
        <w:spacing w:before="260" w:after="100"/>
        <w:pBdr>
          <w:bottom w:val="single" w:sz="5" w:space="4" w:color="E6E1D8"/>
        </w:pBdr>
      </w:pPr>
      <w:r>
        <w:rPr>
          <w:rFonts w:ascii="Inter" w:hAnsi="Inter" w:eastAsia="Inter"/>
          <w:b/>
          <w:i w:val="0"/>
          <w:color w:val="C46F3C"/>
          <w:sz w:val="28"/>
        </w:rPr>
        <w:t>06  PURCHASING AND COMPETITIVE PROPOSALS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For significant non-routine projects, competitive proposals should normally be obtained when reasonably practicable. The number of proposals should reflect the value, complexity, urgency, market availability, and risk of the work; this policy does not impose a universal three-bid requirement.</w:t>
      </w:r>
    </w:p>
    <w:p>
      <w:pPr>
        <w:spacing w:after="100" w:line="259" w:lineRule="auto"/>
        <w:jc w:val="both"/>
      </w:pPr>
      <w:r>
        <w:rPr>
          <w:rFonts w:ascii="Inter" w:hAnsi="Inter" w:eastAsia="Inter"/>
          <w:b w:val="0"/>
          <w:i w:val="0"/>
          <w:color w:val="292B29"/>
          <w:sz w:val="24"/>
        </w:rPr>
        <w:t>Selection need not be based on lowest price. Relevant factors may include scope compliance, experience, insurance, licensing where applicable, warranty, reliability, references, schedule, responsiveness, past performance, and total value.</w:t>
      </w:r>
    </w:p>
    <w:p>
      <w:pPr>
        <w:spacing w:before="260" w:after="100"/>
        <w:pBdr>
          <w:bottom w:val="single" w:sz="5" w:space="4" w:color="E6E1D8"/>
        </w:pBdr>
      </w:pPr>
      <w:r>
        <w:rPr>
          <w:rFonts w:ascii="Inter" w:hAnsi="Inter" w:eastAsia="Inter"/>
          <w:b/>
          <w:i w:val="0"/>
          <w:color w:val="C46F3C"/>
          <w:sz w:val="28"/>
        </w:rPr>
        <w:t>07  CONTRACTS AND MATERIAL CHANGES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New material contracts and material amendments require Board approval unless authority has been specifically delegated. Required Association instruments shall be executed in the manner required by the Bylaws.</w:t>
      </w:r>
    </w:p>
    <w:p>
      <w:pPr>
        <w:spacing w:after="100" w:line="259" w:lineRule="auto"/>
        <w:jc w:val="both"/>
      </w:pPr>
      <w:r>
        <w:rPr>
          <w:rFonts w:ascii="Inter" w:hAnsi="Inter" w:eastAsia="Inter"/>
          <w:b w:val="0"/>
          <w:i w:val="0"/>
          <w:color w:val="292B29"/>
          <w:sz w:val="24"/>
        </w:rPr>
        <w:t>A material change in price, scope, specifications, materials, deliverables, or other substantive contractual term must be approved before the Association is committed to the change. Immaterial scheduling or administrative adjustments that do not change price, risk, scope, or material obligations do not require a new Board vote unless the contract or Board direction requires one.</w:t>
      </w:r>
    </w:p>
    <w:p>
      <w:pPr>
        <w:spacing w:before="260" w:after="100"/>
        <w:pBdr>
          <w:bottom w:val="single" w:sz="5" w:space="4" w:color="E6E1D8"/>
        </w:pBdr>
      </w:pPr>
      <w:r>
        <w:rPr>
          <w:rFonts w:ascii="Inter" w:hAnsi="Inter" w:eastAsia="Inter"/>
          <w:b/>
          <w:i w:val="0"/>
          <w:color w:val="C46F3C"/>
          <w:sz w:val="28"/>
        </w:rPr>
        <w:t>08  BANKING AND ELECTRONIC PAYMENTS</w:t>
      </w:r>
      <w:r>
        <w:rPr>
          <w:rFonts w:ascii="Inter" w:hAnsi="Inter" w:eastAsia="Inter"/>
          <w:b/>
          <w:i w:val="0"/>
          <w:color w:val="24483B"/>
          <w:sz w:val="28"/>
        </w:rPr>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Opening or closing Association bank accounts requires Board approval.</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Changing bank signers or electronic-payment authority requires Board approval.</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Association funds must remain in Association accounts established or approved for Association use.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Electronic-payment systems should use controls reasonably equivalent to the Bylaw execution safeguards, including dual approval where practical and appropriate to the system and transaction risk.</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No person may split a transaction into smaller transactions for the purpose of avoiding a Board approval threshold or control.</w:t>
      </w:r>
    </w:p>
    <w:p>
      <w:pPr>
        <w:spacing w:before="260" w:after="100"/>
        <w:pBdr>
          <w:bottom w:val="single" w:sz="5" w:space="4" w:color="E6E1D8"/>
        </w:pBdr>
      </w:pPr>
      <w:r>
        <w:rPr>
          <w:rFonts w:ascii="Inter" w:hAnsi="Inter" w:eastAsia="Inter"/>
          <w:b/>
          <w:i w:val="0"/>
          <w:color w:val="C46F3C"/>
          <w:sz w:val="28"/>
        </w:rPr>
        <w:t>09  BORROWING</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Borrowing authority and any required membership approval are governed by Bylaws §3.C(3). Administrative preparation of borrowing information does not authorize a commitment.</w:t>
      </w:r>
    </w:p>
    <w:p>
      <w:pPr>
        <w:spacing w:before="260" w:after="100"/>
        <w:pBdr>
          <w:bottom w:val="single" w:sz="5" w:space="4" w:color="E6E1D8"/>
        </w:pBdr>
      </w:pPr>
      <w:r>
        <w:rPr>
          <w:rFonts w:ascii="Inter" w:hAnsi="Inter" w:eastAsia="Inter"/>
          <w:b/>
          <w:i w:val="0"/>
          <w:color w:val="C46F3C"/>
          <w:sz w:val="28"/>
        </w:rPr>
        <w:t>10  REIMBURSEMENTS</w:t>
      </w:r>
      <w:r>
        <w:rPr>
          <w:rFonts w:ascii="Inter" w:hAnsi="Inter" w:eastAsia="Inter"/>
          <w:b/>
          <w:i w:val="0"/>
          <w:color w:val="24483B"/>
          <w:sz w:val="28"/>
        </w:rPr>
      </w:r>
    </w:p>
    <w:p>
      <w:pPr>
        <w:spacing w:after="100" w:line="259" w:lineRule="auto"/>
        <w:jc w:val="both"/>
      </w:pPr>
      <w:r>
        <w:rPr>
          <w:rFonts w:ascii="Inter" w:hAnsi="Inter"/>
          <w:b w:val="0"/>
          <w:i w:val="0"/>
          <w:color w:val="292B29"/>
          <w:sz w:val="24"/>
        </w:rPr>
        <w:t>Board-member and volunteer reimbursements should be governed by the Association's separately adopted Reimbursement Request &amp; Processing Policy until that procedure is formally incorporated into this policy. The same reimbursement rule should not be duplicated in both documents.</w:t>
      </w:r>
    </w:p>
    <w:p>
      <w:pPr>
        <w:spacing w:before="260" w:after="100"/>
        <w:pBdr>
          <w:bottom w:val="single" w:sz="5" w:space="4" w:color="E6E1D8"/>
        </w:pBdr>
      </w:pPr>
      <w:r>
        <w:rPr>
          <w:rFonts w:ascii="Inter" w:hAnsi="Inter" w:eastAsia="Inter"/>
          <w:b/>
          <w:i w:val="0"/>
          <w:color w:val="C46F3C"/>
          <w:sz w:val="28"/>
        </w:rPr>
        <w:t>11  EMERGENCY EXPENDITURES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Emergency authority is governed by the Emergency, Transition &amp; Governance Administration Policy and any active management agreement. Emergency expenditures must be documented in the financial records and reported to the Board.</w:t>
      </w:r>
    </w:p>
    <w:p>
      <w:pPr>
        <w:spacing w:before="260" w:after="100"/>
        <w:pBdr>
          <w:bottom w:val="single" w:sz="5" w:space="4" w:color="E6E1D8"/>
        </w:pBdr>
      </w:pPr>
      <w:r>
        <w:rPr>
          <w:rFonts w:ascii="Inter" w:hAnsi="Inter" w:eastAsia="Inter"/>
          <w:b/>
          <w:i w:val="0"/>
          <w:color w:val="C46F3C"/>
          <w:sz w:val="28"/>
        </w:rPr>
        <w:t>12  AMENDMENT AND VERSION CONTROL</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This policy is the authoritative Board-created source for the subjects covered here. Other Board manuals should cross-reference this policy rather than restating its rules.</w:t>
      </w:r>
    </w:p>
    <w:p>
      <w:pPr>
        <w:spacing w:before="260" w:after="100"/>
        <w:pBdr>
          <w:bottom w:val="single" w:sz="5" w:space="4" w:color="E6E1D8"/>
        </w:pBdr>
      </w:pPr>
      <w:r>
        <w:rPr>
          <w:rFonts w:ascii="Inter" w:hAnsi="Inter" w:eastAsia="Inter"/>
          <w:b/>
          <w:i w:val="0"/>
          <w:color w:val="24483B"/>
          <w:sz w:val="28"/>
        </w:rPr>
        <w:t>BOARD APPROVAL</w:t>
      </w:r>
    </w:p>
    <w:p>
      <w:pPr>
        <w:spacing w:after="100" w:line="259" w:lineRule="auto"/>
        <w:jc w:val="both"/>
      </w:pPr>
      <w:r>
        <w:rPr>
          <w:rFonts w:ascii="Inter" w:hAnsi="Inter" w:eastAsia="Inter"/>
          <w:b w:val="0"/>
          <w:i w:val="0"/>
          <w:color w:val="6D6A63"/>
          <w:sz w:val="24"/>
        </w:rPr>
        <w:t>Adopted: ____________________     Effective: ____________________     Version: 1.0</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