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Compliance &amp; Violation Enforcement Policy</w:t>
      </w:r>
    </w:p>
    <w:p>
      <w:pPr>
        <w:spacing w:after="60"/>
        <w:jc w:val="both"/>
      </w:pPr>
      <w:r>
        <w:rPr>
          <w:rFonts w:ascii="Inter" w:hAnsi="Inter" w:eastAsia="Inter"/>
          <w:b w:val="0"/>
          <w:i w:val="0"/>
          <w:color w:val="7A5943"/>
          <w:sz w:val="24"/>
        </w:rPr>
        <w:t>Compliance Policy  •  Draft for Board Review</w:t>
      </w:r>
    </w:p>
    <w:p>
      <w:pPr>
        <w:spacing w:after="180"/>
        <w:pBdr>
          <w:bottom w:val="single" w:sz="6" w:space="4" w:color="E6E1D8"/>
        </w:pBdr>
        <w:jc w:val="both"/>
      </w:pPr>
      <w:r>
        <w:rPr>
          <w:rFonts w:ascii="Inter" w:hAnsi="Inter"/>
          <w:b w:val="0"/>
          <w:i w:val="0"/>
          <w:color w:val="4E514D"/>
          <w:sz w:val="24"/>
        </w:rPr>
        <w:t>Standard written process for compliance inspections, violation notices, cure periods, hearings, and enforcement under the governing documents.</w:t>
      </w:r>
    </w:p>
    <w:p>
      <w:pPr>
        <w:spacing w:before="260" w:after="100"/>
        <w:pBdr>
          <w:bottom w:val="single" w:sz="5" w:space="4" w:color="E6E1D8"/>
        </w:pBdr>
      </w:pPr>
      <w:r>
        <w:rPr>
          <w:rFonts w:ascii="Inter" w:hAnsi="Inter" w:eastAsia="Inter"/>
          <w:b/>
          <w:i w:val="0"/>
          <w:color w:val="24483B"/>
          <w:sz w:val="28"/>
        </w:rPr>
        <w:t>RESOLUTION OF THE BOARD OF DIRECTORS</w:t>
      </w:r>
    </w:p>
    <w:p>
      <w:pPr>
        <w:spacing w:after="100" w:line="259" w:lineRule="auto"/>
        <w:jc w:val="both"/>
      </w:pPr>
      <w:r>
        <w:rPr>
          <w:rFonts w:ascii="Inter" w:hAnsi="Inter" w:eastAsia="Inter"/>
          <w:b w:val="0"/>
          <w:i w:val="0"/>
          <w:color w:val="292B29"/>
          <w:sz w:val="24"/>
        </w:rPr>
        <w:t>WHEREAS, Article 3.C.1(d) and (e) of the Bylaws authorize the Board of Directors to make, amend, and enforce reasonable rules and regulations governing the Community and to enforce the Association Legal Documents by legal means; and</w:t>
      </w:r>
    </w:p>
    <w:p>
      <w:pPr>
        <w:spacing w:after="100" w:line="259" w:lineRule="auto"/>
        <w:jc w:val="both"/>
      </w:pPr>
      <w:r>
        <w:rPr>
          <w:rFonts w:ascii="Inter" w:hAnsi="Inter" w:eastAsia="Inter"/>
          <w:b w:val="0"/>
          <w:i w:val="0"/>
          <w:color w:val="292B29"/>
          <w:sz w:val="24"/>
        </w:rPr>
        <w:t>WHEREAS, Paragraph 16 of the Declaration (“Authority and Enforcement”) authorizes the Association to impose fines and other enforcement remedies against Violators, subject to the notice and hearing procedures set forth therein; and</w:t>
      </w:r>
    </w:p>
    <w:p>
      <w:pPr>
        <w:spacing w:after="100" w:line="259" w:lineRule="auto"/>
        <w:jc w:val="both"/>
      </w:pPr>
      <w:r>
        <w:rPr>
          <w:rFonts w:ascii="Inter" w:hAnsi="Inter"/>
          <w:b w:val="0"/>
          <w:i w:val="0"/>
          <w:color w:val="292B29"/>
          <w:sz w:val="24"/>
        </w:rPr>
        <w:t>WHEREAS, the Board desires to adopt a standard written procedure for documenting potential violations, providing notices and cure opportunities, conducting hearings when required, and administering enforcement consistently with Paragraph 16 of the Declaration;</w:t>
      </w:r>
    </w:p>
    <w:p>
      <w:pPr>
        <w:spacing w:after="100" w:line="259" w:lineRule="auto"/>
        <w:jc w:val="both"/>
      </w:pPr>
      <w:r>
        <w:rPr>
          <w:rFonts w:ascii="Inter" w:hAnsi="Inter" w:eastAsia="Inter"/>
          <w:b w:val="0"/>
          <w:i w:val="0"/>
          <w:color w:val="292B29"/>
          <w:sz w:val="24"/>
        </w:rPr>
        <w:t>NOW, THEREFORE, BE IT RESOLVED, that the Board of Directors hereby adopts the attached Compliance and Violation Enforcement Policy, effective as of the date of adoption below, and that such policy shall govern the Association's enforcement of the Association Legal Documents until amended or repealed by subsequent resolution of the Board.</w:t>
      </w:r>
    </w:p>
    <w:p>
      <w:pPr>
        <w:spacing w:after="100" w:line="259" w:lineRule="auto"/>
        <w:jc w:val="both"/>
      </w:pPr>
      <w:r>
        <w:rPr>
          <w:rFonts w:ascii="Inter" w:hAnsi="Inter" w:eastAsia="Inter"/>
          <w:b w:val="0"/>
          <w:i w:val="0"/>
          <w:color w:val="292B29"/>
          <w:sz w:val="24"/>
        </w:rPr>
        <w:t>BE IT FURTHER RESOLVED, that this resolution and the attached policy shall be maintained with the official records of the Association.</w:t>
      </w:r>
    </w:p>
    <w:p>
      <w:pPr>
        <w:spacing w:after="100" w:line="259" w:lineRule="auto"/>
        <w:jc w:val="both"/>
      </w:pPr>
      <w:r>
        <w:rPr>
          <w:rFonts w:ascii="Inter" w:hAnsi="Inter" w:eastAsia="Inter"/>
          <w:b w:val="0"/>
          <w:i w:val="0"/>
          <w:color w:val="292B29"/>
          <w:sz w:val="24"/>
        </w:rPr>
        <w:t>Adopted by the Board of Directors this ____ day of ____________, 20____.</w:t>
      </w:r>
    </w:p>
    <w:p>
      <w:pPr>
        <w:spacing w:after="100" w:line="259" w:lineRule="auto"/>
        <w:jc w:val="both"/>
      </w:pPr>
      <w:r>
        <w:rPr>
          <w:rFonts w:ascii="Inter" w:hAnsi="Inter" w:eastAsia="Inter"/>
          <w:b w:val="0"/>
          <w:i w:val="0"/>
          <w:color w:val="292B29"/>
          <w:sz w:val="24"/>
        </w:rPr>
        <w:t>_______________________________     President</w:t>
      </w:r>
    </w:p>
    <w:p>
      <w:pPr>
        <w:spacing w:after="100" w:line="259" w:lineRule="auto"/>
        <w:jc w:val="both"/>
      </w:pPr>
      <w:r>
        <w:rPr>
          <w:rFonts w:ascii="Inter" w:hAnsi="Inter" w:eastAsia="Inter"/>
          <w:b w:val="0"/>
          <w:i w:val="0"/>
          <w:color w:val="292B29"/>
          <w:sz w:val="24"/>
        </w:rPr>
        <w:t>_______________________________     Secretary (Attest)</w:t>
      </w:r>
    </w:p>
    <w:p>
      <w:pPr>
        <w:spacing w:before="260" w:after="100"/>
        <w:pBdr>
          <w:bottom w:val="single" w:sz="5" w:space="4" w:color="E6E1D8"/>
        </w:pBdr>
      </w:pPr>
      <w:r>
        <w:rPr>
          <w:rFonts w:ascii="Inter" w:hAnsi="Inter" w:eastAsia="Inter"/>
          <w:b/>
          <w:i w:val="0"/>
          <w:color w:val="C46F3C"/>
          <w:sz w:val="28"/>
        </w:rPr>
        <w:t>01  PURPOSE AND AUTHORITY</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This policy establishes a standard, three-step written notice process for enforcing the Association Legal Documents (the Declaration, Bylaws, Articles of Incorporation, and any duly adopted rules and regulations) against Owners, Occupants, and their guests. It is adopted under the Board's general enforcement authority in Paragraph 16 of the Declaration (“Authority and Enforcement”) and the Board's rule-making power in Bylaws Article 3.C.1(d) and (e).</w:t>
      </w:r>
    </w:p>
    <w:p>
      <w:pPr>
        <w:spacing w:after="100" w:line="259" w:lineRule="auto"/>
        <w:jc w:val="both"/>
      </w:pPr>
      <w:r>
        <w:rPr>
          <w:rFonts w:ascii="Inter" w:hAnsi="Inter" w:eastAsia="Inter"/>
          <w:b w:val="0"/>
          <w:i w:val="0"/>
          <w:color w:val="292B29"/>
          <w:sz w:val="24"/>
        </w:rPr>
        <w:t>This policy does not limit or replace any other enforcement remedy available to the Association under the Declaration, including self-help, injunctive relief, or automatic suspension of rights for delinquent assessments. Those remedies operate independently, as described in Section 5 below.</w:t>
      </w:r>
    </w:p>
    <w:p>
      <w:pPr>
        <w:spacing w:before="260" w:after="100"/>
        <w:pBdr>
          <w:bottom w:val="single" w:sz="5" w:space="4" w:color="E6E1D8"/>
        </w:pBdr>
      </w:pPr>
      <w:r>
        <w:rPr>
          <w:rFonts w:ascii="Inter" w:hAnsi="Inter"/>
          <w:b/>
          <w:i w:val="0"/>
          <w:color w:val="C46F3C"/>
          <w:sz w:val="28"/>
        </w:rPr>
        <w:t>02  COMPLIANCE INSPECTIONS</w:t>
      </w:r>
    </w:p>
    <w:p>
      <w:pPr>
        <w:spacing w:after="100" w:line="259" w:lineRule="auto"/>
        <w:jc w:val="both"/>
      </w:pPr>
      <w:r>
        <w:rPr>
          <w:rFonts w:ascii="Inter" w:hAnsi="Inter"/>
          <w:b w:val="0"/>
          <w:i w:val="0"/>
          <w:color w:val="292B29"/>
          <w:sz w:val="24"/>
        </w:rPr>
        <w:t>The Board, its management agent, or another authorized representative may conduct periodic compliance inspections as reasonably necessary to administer the Association's governing documents. Observed conditions should be documented by Parcel address, condition or violation type, and date observed so that continuing and repeat violations can be administered consistently.</w:t>
      </w:r>
    </w:p>
    <w:p>
      <w:pPr>
        <w:spacing w:before="260" w:after="100"/>
        <w:pBdr>
          <w:bottom w:val="single" w:sz="5" w:space="4" w:color="E6E1D8"/>
        </w:pBdr>
      </w:pPr>
      <w:r>
        <w:rPr>
          <w:rFonts w:ascii="Inter" w:hAnsi="Inter" w:eastAsia="Inter"/>
          <w:b/>
          <w:i w:val="0"/>
          <w:color w:val="C46F3C"/>
          <w:sz w:val="28"/>
        </w:rPr>
        <w:t>03  THE THREE-NOTICE PROCESS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Except as provided in Section 5, the Association will process a violation through the following three written notices before a fine takes effect:</w:t>
      </w:r>
    </w:p>
    <w:tbl>
      <w:tblPr>
        <w:tblW w:type="auto" w:w="0"/>
        <w:jc w:val="center"/>
        <w:tblLayout w:type="autofit"/>
        <w:tblLook w:firstColumn="1" w:firstRow="1" w:lastColumn="0" w:lastRow="0" w:noHBand="0" w:noVBand="1" w:val="04A0"/>
        <w:tblBorders>
          <w:top w:val="single" w:sz="6" w:space="0" w:color="D8D1C5"/>
          <w:left w:val="single" w:sz="6" w:space="0" w:color="D8D1C5"/>
          <w:bottom w:val="single" w:sz="6" w:space="0" w:color="D8D1C5"/>
          <w:right w:val="single" w:sz="6" w:space="0" w:color="D8D1C5"/>
          <w:insideH w:val="single" w:sz="6" w:space="0" w:color="D8D1C5"/>
          <w:insideV w:val="single" w:sz="6" w:space="0" w:color="D8D1C5"/>
        </w:tblBorders>
      </w:tblPr>
      <w:tblGrid>
        <w:gridCol w:w="1987"/>
        <w:gridCol w:w="1987"/>
        <w:gridCol w:w="1987"/>
        <w:gridCol w:w="1987"/>
        <w:gridCol w:w="1987"/>
      </w:tblGrid>
      <w:tr>
        <w:trPr>
          <w:tblHeader w:val="true"/>
        </w:trPr>
        <w:tc>
          <w:tcPr>
            <w:tcW w:type="dxa" w:w="1987"/>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STEP</w:t>
            </w:r>
          </w:p>
        </w:tc>
        <w:tc>
          <w:tcPr>
            <w:tcW w:type="dxa" w:w="1987"/>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NOTICE</w:t>
            </w:r>
          </w:p>
        </w:tc>
        <w:tc>
          <w:tcPr>
            <w:tcW w:type="dxa" w:w="1987"/>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PURPOSE / CONTENT</w:t>
            </w:r>
          </w:p>
        </w:tc>
        <w:tc>
          <w:tcPr>
            <w:tcW w:type="dxa" w:w="1987"/>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FINE</w:t>
            </w:r>
          </w:p>
        </w:tc>
        <w:tc>
          <w:tcPr>
            <w:tcW w:type="dxa" w:w="1987"/>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CURE PERIOD</w:t>
            </w:r>
          </w:p>
        </w:tc>
      </w:tr>
      <w:tr>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1</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Courtesy Notice</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Informal notice describing the violation observed during inspection and requesting voluntary correction. No fine or suspension is imposed at this stage.</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No</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10 days</w:t>
            </w:r>
          </w:p>
        </w:tc>
      </w:tr>
      <w:tr>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2</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Second Notice (Formal Violation Notice)</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Formal written violation notice under Declaration §16. States the specific violation, the fine that will be imposed if uncured, and advises the Owner of the right to request a hearing before the Board within 10 days.</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Stated, pending cure</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10 days</w:t>
            </w:r>
          </w:p>
        </w:tc>
      </w:tr>
      <w:tr>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i w:val="0"/>
                <w:color w:val="292B29"/>
                <w:sz w:val="24"/>
              </w:rPr>
              <w:t>3</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Fine Notice</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Confirms the violation remains uncured (or a hearing resulted in an adverse decision) and that the fine is now assessed as a specific special assessment and lien against the Parcel.</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jc w:val="both"/>
            </w:pPr>
            <w:r>
              <w:rPr>
                <w:rFonts w:ascii="Inter" w:hAnsi="Inter" w:eastAsia="Inter"/>
                <w:b w:val="0"/>
                <w:i w:val="0"/>
                <w:color w:val="292B29"/>
                <w:sz w:val="24"/>
              </w:rPr>
              <w:t>Yes – effective</w:t>
            </w:r>
          </w:p>
        </w:tc>
        <w:tc>
          <w:tcPr>
            <w:tcW w:type="dxa" w:w="1987"/>
            <w:tcMar>
              <w:top w:w="100" w:type="dxa"/>
              <w:start w:w="120" w:type="dxa"/>
              <w:bottom w:w="100" w:type="dxa"/>
              <w:end w:w="120" w:type="dxa"/>
            </w:tcMar>
            <w:tcBorders>
              <w:top w:val="single" w:sz="3" w:color="E6E1D8"/>
              <w:left w:val="single" w:sz="3" w:color="E6E1D8"/>
              <w:bottom w:val="single" w:sz="3" w:color="E6E1D8"/>
              <w:right w:val="single" w:sz="3" w:color="E6E1D8"/>
            </w:tcBorders>
          </w:tcPr>
          <w:p>
            <w:pPr>
              <w:spacing w:after="40" w:line="240" w:lineRule="auto"/>
            </w:pPr>
            <w:r>
              <w:rPr>
                <w:rFonts w:ascii="Inter" w:hAnsi="Inter" w:eastAsia="Inter"/>
                <w:b w:val="0"/>
                <w:i w:val="0"/>
                <w:color w:val="292B29"/>
                <w:sz w:val="24"/>
              </w:rPr>
              <w:t>N/A</w:t>
            </w:r>
          </w:p>
        </w:tc>
      </w:tr>
    </w:tbl>
    <w:p>
      <w:pPr>
        <w:spacing w:after="20"/>
      </w:pPr>
    </w:p>
    <w:p>
      <w:pPr>
        <w:spacing w:before="160" w:after="60"/>
        <w:jc w:val="both"/>
      </w:pPr>
      <w:r>
        <w:rPr>
          <w:rFonts w:ascii="Inter" w:hAnsi="Inter" w:eastAsia="Inter"/>
          <w:b/>
          <w:i w:val="0"/>
          <w:color w:val="7A5943"/>
          <w:sz w:val="24"/>
        </w:rPr>
        <w:t>3.1 Step 1 – Courtesy Notice</w:t>
      </w:r>
    </w:p>
    <w:p>
      <w:pPr>
        <w:spacing w:after="100" w:line="259" w:lineRule="auto"/>
        <w:jc w:val="both"/>
      </w:pPr>
      <w:r>
        <w:rPr>
          <w:rFonts w:ascii="Inter" w:hAnsi="Inter" w:eastAsia="Inter"/>
          <w:b w:val="0"/>
          <w:i w:val="0"/>
          <w:color w:val="292B29"/>
          <w:sz w:val="24"/>
        </w:rPr>
        <w:t>Sent upon first observation of a violation. It is informational, not a formal Declaration §16 violation notice, and does not itself authorize a fine. It identifies the violation, references the applicable provision of the Association Legal Documents, and gives the Owner 10 days to correct the condition or bring it into compliance.</w:t>
      </w:r>
    </w:p>
    <w:p>
      <w:pPr>
        <w:spacing w:before="160" w:after="60"/>
        <w:jc w:val="both"/>
      </w:pPr>
      <w:r>
        <w:rPr>
          <w:rFonts w:ascii="Inter" w:hAnsi="Inter" w:eastAsia="Inter"/>
          <w:b/>
          <w:i w:val="0"/>
          <w:color w:val="7A5943"/>
          <w:sz w:val="24"/>
        </w:rPr>
        <w:t>3.2 Step 2 – Second Notice (Formal Violation Notice)</w:t>
      </w:r>
    </w:p>
    <w:p>
      <w:pPr>
        <w:spacing w:after="100" w:line="259" w:lineRule="auto"/>
        <w:jc w:val="both"/>
      </w:pPr>
      <w:r>
        <w:rPr>
          <w:rFonts w:ascii="Inter" w:hAnsi="Inter" w:eastAsia="Inter"/>
          <w:b w:val="0"/>
          <w:i w:val="0"/>
          <w:color w:val="292B29"/>
          <w:sz w:val="24"/>
        </w:rPr>
        <w:t>Sent if the violation remains uncured after the Step 1 cure period, or if the inspection following the courtesy period shows no correction. This notice is the formal “written violation notice” required by Declaration §16.C before a fine may be imposed, and must include, at minimum:</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 description of the violation and the specific provision of the Association Legal Documents violated;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The dollar amount of the fine that will be imposed if the violation is not cured (or, for a continuing condition, the daily fine rate);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The date the fine will take effect if uncured (the fine may run from the date of this notice unless a later date is stated);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 statement that the Owner may request a hearing before the Board, in executive session, by submitting a written request within 10 days of the date of this notice; and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 statement that failure to timely request a hearing waives the right to contest the violation or the fine.</w:t>
      </w:r>
    </w:p>
    <w:p>
      <w:pPr>
        <w:spacing w:after="100" w:line="259" w:lineRule="auto"/>
        <w:jc w:val="both"/>
      </w:pPr>
      <w:r>
        <w:rPr>
          <w:rFonts w:ascii="Inter" w:hAnsi="Inter" w:eastAsia="Inter"/>
          <w:b w:val="0"/>
          <w:i w:val="0"/>
          <w:color w:val="292B29"/>
          <w:sz w:val="24"/>
        </w:rPr>
        <w:t>If a hearing is timely requested, the Board will schedule and hold it in executive session and issue a written decision, which becomes final. The fine timeline is not tolled by a hearing request unless the Board's notice specifically states otherwise.</w:t>
      </w:r>
    </w:p>
    <w:p>
      <w:pPr>
        <w:spacing w:before="160" w:after="60"/>
        <w:jc w:val="both"/>
      </w:pPr>
      <w:r>
        <w:rPr>
          <w:rFonts w:ascii="Inter" w:hAnsi="Inter" w:eastAsia="Inter"/>
          <w:b/>
          <w:i w:val="0"/>
          <w:color w:val="7A5943"/>
          <w:sz w:val="24"/>
        </w:rPr>
        <w:t>3.3 Step 3 – Fine Notice</w:t>
      </w:r>
    </w:p>
    <w:p>
      <w:pPr>
        <w:spacing w:after="100" w:line="259" w:lineRule="auto"/>
        <w:jc w:val="both"/>
      </w:pPr>
      <w:r>
        <w:rPr>
          <w:rFonts w:ascii="Inter" w:hAnsi="Inter"/>
          <w:b w:val="0"/>
          <w:i w:val="0"/>
          <w:color w:val="292B29"/>
          <w:sz w:val="24"/>
        </w:rPr>
        <w:t>Sent once the cure period in the Second Notice has expired without correction, or after an adverse hearing decision. This notice confirms that the fine is assessed as a specific special assessment against the Parcel, constitutes a continuing lien on the Parcel under Declaration §6.B, and that the Association may recover its costs and reasonably incurred attorneys' fees in collecting it under Declaration §16.F. If the violation remains subject to re-inspection, the notice may identify the next anticipated verification or inspection and may advise the Owner how to submit information showing that the cited condition has been corrected.</w:t>
      </w:r>
    </w:p>
    <w:p>
      <w:pPr>
        <w:spacing w:before="260" w:after="100"/>
        <w:pBdr>
          <w:bottom w:val="single" w:sz="5" w:space="4" w:color="E6E1D8"/>
        </w:pBdr>
      </w:pPr>
      <w:r>
        <w:rPr>
          <w:rFonts w:ascii="Inter" w:hAnsi="Inter" w:eastAsia="Inter"/>
          <w:b/>
          <w:i w:val="0"/>
          <w:color w:val="C46F3C"/>
          <w:sz w:val="28"/>
        </w:rPr>
        <w:t>04  FINE AMOUNTS AND RECURRENCE</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specific dollar amount(s) for each violation type, and any escalation schedule, shall be set by separate Board resolution and published in the Association's rules and regulations or fine schedule. This policy governs process only, not amount.</w:t>
      </w:r>
    </w:p>
    <w:p>
      <w:pPr>
        <w:spacing w:after="100" w:line="259" w:lineRule="auto"/>
        <w:jc w:val="both"/>
      </w:pPr>
      <w:r>
        <w:rPr>
          <w:rFonts w:ascii="Inter" w:hAnsi="Inter" w:eastAsia="Inter"/>
          <w:b w:val="0"/>
          <w:i w:val="0"/>
          <w:color w:val="292B29"/>
          <w:sz w:val="24"/>
        </w:rPr>
        <w:t>Nothing in this policy limits the Board's authority under Declaration §16.C(3) to impose fines on a per diem basis for a continuing violation, or without further notice for a repeat occurrence of the same violation on the same Parcel, once the Step 2 Second Notice has been issued once for that violation type.</w:t>
      </w:r>
    </w:p>
    <w:p>
      <w:pPr>
        <w:spacing w:before="260" w:after="100"/>
        <w:pBdr>
          <w:bottom w:val="single" w:sz="5" w:space="4" w:color="E6E1D8"/>
        </w:pBdr>
      </w:pPr>
      <w:r>
        <w:rPr>
          <w:rFonts w:ascii="Inter" w:hAnsi="Inter" w:eastAsia="Inter"/>
          <w:b/>
          <w:i w:val="0"/>
          <w:color w:val="C46F3C"/>
          <w:sz w:val="28"/>
        </w:rPr>
        <w:t>05  SITUATIONS OUTSIDE THIS PROCESS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following actions are self-executing under the Declaration and Bylaws and do not require the three-notice process described above: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Suspension of voting rights and Common Property use for any Parcel more than 30 days past due on assessments or charges (automatic under Declaration §16.C(3) and Bylaws 1.F);</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Late charges and interest on delinquent assessments (Declaration §6.C);</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Self-help / emergency abatement of an immediate hazard (Declaration §16.D), which requires only 2 days' prior written notice, or none in a true emergency;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Per diem fines for a continuing violation, or fines for a repeat of the same violation on the same Parcel, once initial notice has been given (Declaration §16.C(3)).</w:t>
      </w:r>
    </w:p>
    <w:p>
      <w:pPr>
        <w:spacing w:before="260" w:after="100"/>
        <w:pBdr>
          <w:bottom w:val="single" w:sz="5" w:space="4" w:color="E6E1D8"/>
        </w:pBdr>
      </w:pPr>
      <w:r>
        <w:rPr>
          <w:rFonts w:ascii="Inter" w:hAnsi="Inter"/>
          <w:b/>
          <w:i w:val="0"/>
          <w:color w:val="C46F3C"/>
          <w:sz w:val="28"/>
        </w:rPr>
        <w:t>06  VERIFYING COMPLIANCE AND CLOSING A VIOLATION</w:t>
      </w:r>
    </w:p>
    <w:p>
      <w:pPr>
        <w:spacing w:after="100" w:line="259" w:lineRule="auto"/>
        <w:jc w:val="both"/>
      </w:pPr>
      <w:r>
        <w:rPr>
          <w:rFonts w:ascii="Inter" w:hAnsi="Inter"/>
          <w:b w:val="0"/>
          <w:i w:val="0"/>
          <w:color w:val="292B29"/>
          <w:sz w:val="24"/>
        </w:rPr>
        <w:t>An Owner may notify the Association or management that a cited condition has been corrected and may provide photographs or other supporting information. The Association may also verify correction through inspection or other reliable means.</w:t>
      </w:r>
    </w:p>
    <w:p>
      <w:pPr>
        <w:spacing w:after="100" w:line="259" w:lineRule="auto"/>
        <w:ind w:left="317" w:hanging="202"/>
        <w:jc w:val="both"/>
      </w:pPr>
      <w:r>
        <w:rPr>
          <w:rFonts w:ascii="Inter" w:hAnsi="Inter"/>
          <w:b/>
          <w:i w:val="0"/>
          <w:color w:val="C46F3C"/>
          <w:sz w:val="24"/>
        </w:rPr>
        <w:t>•  The owner portal is the preferred administrative method for responding to a violation notice and submitting photographs or other supporting documentation when available.</w:t>
      </w:r>
    </w:p>
    <w:p>
      <w:pPr>
        <w:spacing w:after="100" w:line="259" w:lineRule="auto"/>
        <w:jc w:val="both"/>
      </w:pPr>
      <w:r>
        <w:rPr>
          <w:rFonts w:ascii="Inter" w:hAnsi="Inter"/>
          <w:b w:val="0"/>
          <w:i w:val="0"/>
          <w:color w:val="292B29"/>
          <w:sz w:val="24"/>
        </w:rPr>
        <w:t>A violation record should be closed when the Association reasonably verifies that the cited condition has been corrected or otherwise resolved. Management should document the basis for closure in the Association's records.</w:t>
      </w:r>
    </w:p>
    <w:p>
      <w:pPr>
        <w:spacing w:after="100" w:line="259" w:lineRule="auto"/>
        <w:jc w:val="both"/>
      </w:pPr>
      <w:r>
        <w:rPr>
          <w:rFonts w:ascii="Inter" w:hAnsi="Inter"/>
          <w:b w:val="0"/>
          <w:i w:val="0"/>
          <w:color w:val="292B29"/>
          <w:sz w:val="24"/>
        </w:rPr>
        <w:t>If compliance cannot be verified, the violation may remain open and proceed in accordance with this Policy and the governing documents. Administrative use of the owner portal does not create an additional substantive condition of compliance beyond the governing documents and duly adopted Association standards.</w:t>
      </w:r>
    </w:p>
    <w:p>
      <w:pPr>
        <w:spacing w:before="260" w:after="100"/>
        <w:pBdr>
          <w:bottom w:val="single" w:sz="5" w:space="4" w:color="E6E1D8"/>
        </w:pBdr>
      </w:pPr>
      <w:r>
        <w:rPr>
          <w:rFonts w:ascii="Inter" w:hAnsi="Inter" w:eastAsia="Inter"/>
          <w:b/>
          <w:i w:val="0"/>
          <w:color w:val="C46F3C"/>
          <w:sz w:val="28"/>
        </w:rPr>
        <w:t>07  DELIVERY OF NOTICES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All notices under this policy will be delivered in accordance with Bylaws Article 5.A – by personal delivery, first-class mail, statutory overnight delivery, email, facsimile, or secure website posting with confirmed retrieval – to the address or electronic address the Owner has filed with the Secretary, or if none, to the address of the Parcel.</w:t>
      </w:r>
    </w:p>
    <w:p>
      <w:pPr>
        <w:spacing w:before="260" w:after="100"/>
        <w:pBdr>
          <w:bottom w:val="single" w:sz="5" w:space="4" w:color="E6E1D8"/>
        </w:pBdr>
      </w:pPr>
      <w:r>
        <w:rPr>
          <w:rFonts w:ascii="Inter" w:hAnsi="Inter" w:eastAsia="Inter"/>
          <w:b/>
          <w:i w:val="0"/>
          <w:color w:val="C46F3C"/>
          <w:sz w:val="28"/>
        </w:rPr>
        <w:t>08  RECORDS</w:t>
      </w:r>
      <w:r>
        <w:rPr>
          <w:rFonts w:ascii="Inter" w:hAnsi="Inter" w:eastAsia="Inter"/>
          <w:b/>
          <w:i w:val="0"/>
          <w:color w:val="24483B"/>
          <w:sz w:val="28"/>
        </w:rPr>
      </w:r>
    </w:p>
    <w:p>
      <w:pPr>
        <w:spacing w:after="100" w:line="259" w:lineRule="auto"/>
        <w:jc w:val="both"/>
      </w:pPr>
      <w:r>
        <w:rPr>
          <w:rFonts w:ascii="Inter" w:hAnsi="Inter" w:eastAsia="Inter"/>
          <w:b w:val="0"/>
          <w:i w:val="0"/>
          <w:color w:val="292B29"/>
          <w:sz w:val="24"/>
        </w:rPr>
        <w:t>The Association will retain copies of all inspection logs and notices issued under this policy for at least three years, consistent with the Association's recordkeeping obligations under Bylaws Article 2.H(1).</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