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Fine Schedule Resolution &amp; Policy</w:t>
      </w:r>
    </w:p>
    <w:p>
      <w:pPr>
        <w:spacing w:after="60"/>
        <w:jc w:val="both"/>
      </w:pPr>
      <w:r>
        <w:rPr>
          <w:rFonts w:ascii="Inter" w:hAnsi="Inter" w:eastAsia="Inter"/>
          <w:b w:val="0"/>
          <w:i w:val="0"/>
          <w:color w:val="7A5943"/>
          <w:sz w:val="24"/>
        </w:rPr>
        <w:t>Enforcement Resolution  •  Draft for Board Review</w:t>
      </w:r>
    </w:p>
    <w:p>
      <w:pPr>
        <w:spacing w:after="180"/>
        <w:pBdr>
          <w:bottom w:val="single" w:sz="6" w:space="4" w:color="E6E1D8"/>
        </w:pBdr>
        <w:jc w:val="both"/>
      </w:pPr>
      <w:r>
        <w:rPr>
          <w:rFonts w:ascii="Inter" w:hAnsi="Inter" w:eastAsia="Inter"/>
          <w:b w:val="0"/>
          <w:i w:val="0"/>
          <w:color w:val="4E514D"/>
          <w:sz w:val="24"/>
        </w:rPr>
        <w:t>Establishes fine amount(s) and accrual basis used with the separate Compliance &amp; Violation Enforcement Policy.</w:t>
      </w:r>
    </w:p>
    <w:p>
      <w:pPr>
        <w:spacing w:before="260" w:after="100"/>
        <w:pBdr>
          <w:bottom w:val="single" w:sz="5" w:space="4" w:color="E6E1D8"/>
        </w:pBdr>
      </w:pPr>
      <w:r>
        <w:rPr>
          <w:rFonts w:ascii="Inter" w:hAnsi="Inter" w:eastAsia="Inter"/>
          <w:b/>
          <w:i w:val="0"/>
          <w:color w:val="24483B"/>
          <w:sz w:val="28"/>
        </w:rPr>
        <w:t>RESOLUTION OF THE BOARD OF DIRECTORS – FINE SCHEDULE</w:t>
      </w:r>
    </w:p>
    <w:p>
      <w:pPr>
        <w:spacing w:after="100" w:line="259" w:lineRule="auto"/>
        <w:jc w:val="both"/>
      </w:pPr>
      <w:r>
        <w:rPr>
          <w:rFonts w:ascii="Inter" w:hAnsi="Inter" w:eastAsia="Inter"/>
          <w:b w:val="0"/>
          <w:i w:val="0"/>
          <w:color w:val="292B29"/>
          <w:sz w:val="24"/>
        </w:rPr>
        <w:t>WHEREAS, Article 3.C.1(d) and (e) of the Bylaws authorize the Board of Directors to make, amend, and enforce reasonable rules and regulations governing the Community and to enforce the Association Legal Documents by legal means; and</w:t>
      </w:r>
    </w:p>
    <w:p>
      <w:pPr>
        <w:spacing w:after="100" w:line="259" w:lineRule="auto"/>
        <w:jc w:val="both"/>
      </w:pPr>
      <w:r>
        <w:rPr>
          <w:rFonts w:ascii="Inter" w:hAnsi="Inter" w:eastAsia="Inter"/>
          <w:b w:val="0"/>
          <w:i w:val="0"/>
          <w:color w:val="292B29"/>
          <w:sz w:val="24"/>
        </w:rPr>
        <w:t>WHEREAS, Paragraph 16.B(3) of the Declaration authorizes the Board to impose reasonable fines against Violators, which fines constitute a lien on the violating Owner's Parcel under Paragraph 6.B of the Declaration; and</w:t>
      </w:r>
    </w:p>
    <w:p>
      <w:pPr>
        <w:spacing w:after="100" w:line="259" w:lineRule="auto"/>
        <w:jc w:val="both"/>
      </w:pPr>
      <w:r>
        <w:rPr>
          <w:rFonts w:ascii="Inter" w:hAnsi="Inter" w:eastAsia="Inter"/>
          <w:b w:val="0"/>
          <w:i w:val="0"/>
          <w:color w:val="292B29"/>
          <w:sz w:val="24"/>
        </w:rPr>
        <w:t>WHEREAS, the Board has previously adopted the Compliance and Violation Enforcement Policy, which establishes a three-notice process (Courtesy Notice, Second Notice, and Fine Notice) for enforcing the Association Legal Documents, but does not itself set the dollar amount of any fine; and</w:t>
      </w:r>
    </w:p>
    <w:p>
      <w:pPr>
        <w:spacing w:after="100" w:line="259" w:lineRule="auto"/>
        <w:jc w:val="both"/>
      </w:pPr>
      <w:r>
        <w:rPr>
          <w:rFonts w:ascii="Inter" w:hAnsi="Inter" w:eastAsia="Inter"/>
          <w:b w:val="0"/>
          <w:i w:val="0"/>
          <w:color w:val="292B29"/>
          <w:sz w:val="24"/>
        </w:rPr>
        <w:t>WHEREAS, the Board desires to establish the specific fine amount(s) to be assessed under Step 3 (Fine Notice) of the Compliance and Violation Enforcement Policy;</w:t>
      </w:r>
    </w:p>
    <w:p>
      <w:pPr>
        <w:spacing w:after="100" w:line="259" w:lineRule="auto"/>
        <w:jc w:val="both"/>
      </w:pPr>
      <w:r>
        <w:rPr>
          <w:rFonts w:ascii="Inter" w:hAnsi="Inter" w:eastAsia="Inter"/>
          <w:b w:val="0"/>
          <w:i w:val="0"/>
          <w:color w:val="292B29"/>
          <w:sz w:val="24"/>
        </w:rPr>
        <w:t>NOW, THEREFORE, BE IT RESOLVED, that the Board of Directors hereby adopts the attached Fine Schedule Policy and establishes the fine amount at:</w:t>
      </w:r>
    </w:p>
    <w:p>
      <w:pPr>
        <w:spacing w:after="100" w:line="259" w:lineRule="auto"/>
        <w:jc w:val="both"/>
      </w:pPr>
      <w:r>
        <w:rPr>
          <w:rFonts w:ascii="Inter" w:hAnsi="Inter"/>
          <w:b w:val="0"/>
          <w:i w:val="0"/>
          <w:color w:val="292B29"/>
          <w:sz w:val="24"/>
        </w:rPr>
        <w:t>$________________ per ________________________</w:t>
      </w:r>
    </w:p>
    <w:p>
      <w:pPr>
        <w:spacing w:after="100" w:line="259" w:lineRule="auto"/>
        <w:jc w:val="both"/>
      </w:pPr>
      <w:r>
        <w:rPr>
          <w:rFonts w:ascii="Inter" w:hAnsi="Inter" w:eastAsia="Inter"/>
          <w:b w:val="0"/>
          <w:i w:val="0"/>
          <w:color w:val="292B29"/>
          <w:sz w:val="24"/>
        </w:rPr>
        <w:t>effective as of the date of adoption below, to be assessed in accordance with the Compliance and Violation Enforcement Policy and Paragraph 16 of the Declaration.</w:t>
      </w:r>
    </w:p>
    <w:p>
      <w:pPr>
        <w:spacing w:after="100" w:line="259" w:lineRule="auto"/>
        <w:jc w:val="both"/>
      </w:pPr>
      <w:r>
        <w:rPr>
          <w:rFonts w:ascii="Inter" w:hAnsi="Inter" w:eastAsia="Inter"/>
          <w:b w:val="0"/>
          <w:i w:val="0"/>
          <w:color w:val="292B29"/>
          <w:sz w:val="24"/>
        </w:rPr>
        <w:t>BE IT FURTHER RESOLVED, that this resolution and the attached Fine Schedule Policy shall be maintained with the official records of the Association, and that the Board may amend the fine amount set forth above by subsequent resolution without further amendment of the Compliance and Violation Enforcement Policy.</w:t>
      </w:r>
    </w:p>
    <w:p>
      <w:pPr>
        <w:spacing w:after="100" w:line="259" w:lineRule="auto"/>
        <w:jc w:val="both"/>
      </w:pPr>
      <w:r>
        <w:rPr>
          <w:rFonts w:ascii="Inter" w:hAnsi="Inter" w:eastAsia="Inter"/>
          <w:b w:val="0"/>
          <w:i w:val="0"/>
          <w:color w:val="292B29"/>
          <w:sz w:val="24"/>
        </w:rPr>
        <w:t>Adopted by the Board of Directors this ____ day of ____________, 20____.</w:t>
      </w:r>
    </w:p>
    <w:p>
      <w:pPr>
        <w:spacing w:after="100" w:line="259" w:lineRule="auto"/>
        <w:jc w:val="both"/>
      </w:pPr>
      <w:r>
        <w:rPr>
          <w:rFonts w:ascii="Inter" w:hAnsi="Inter" w:eastAsia="Inter"/>
          <w:b w:val="0"/>
          <w:i w:val="0"/>
          <w:color w:val="292B29"/>
          <w:sz w:val="24"/>
        </w:rPr>
        <w:t>_______________________________     President</w:t>
      </w:r>
    </w:p>
    <w:p>
      <w:pPr>
        <w:spacing w:after="100" w:line="259" w:lineRule="auto"/>
        <w:jc w:val="both"/>
      </w:pPr>
      <w:r>
        <w:rPr>
          <w:rFonts w:ascii="Inter" w:hAnsi="Inter" w:eastAsia="Inter"/>
          <w:b w:val="0"/>
          <w:i w:val="0"/>
          <w:color w:val="292B29"/>
          <w:sz w:val="24"/>
        </w:rPr>
        <w:t>_______________________________     Secretary (Attest)</w:t>
      </w:r>
    </w:p>
    <w:p>
      <w:pPr>
        <w:spacing w:before="260" w:after="100"/>
        <w:pBdr>
          <w:bottom w:val="single" w:sz="5" w:space="4" w:color="E6E1D8"/>
        </w:pBdr>
      </w:pPr>
      <w:r>
        <w:rPr>
          <w:rFonts w:ascii="Inter" w:hAnsi="Inter" w:eastAsia="Inter"/>
          <w:b/>
          <w:i w:val="0"/>
          <w:color w:val="C46F3C"/>
          <w:sz w:val="28"/>
        </w:rPr>
        <w:t xml:space="preserve">01  </w:t>
      </w:r>
      <w:r>
        <w:rPr>
          <w:rFonts w:ascii="Inter" w:hAnsi="Inter" w:eastAsia="Inter"/>
          <w:b/>
          <w:i w:val="0"/>
          <w:color w:val="24483B"/>
          <w:sz w:val="28"/>
        </w:rPr>
        <w:t>PURPOSE</w:t>
      </w:r>
    </w:p>
    <w:p>
      <w:pPr>
        <w:spacing w:after="100" w:line="259" w:lineRule="auto"/>
        <w:jc w:val="both"/>
      </w:pPr>
      <w:r>
        <w:rPr>
          <w:rFonts w:ascii="Inter" w:hAnsi="Inter" w:eastAsia="Inter"/>
          <w:b w:val="0"/>
          <w:i w:val="0"/>
          <w:color w:val="292B29"/>
          <w:sz w:val="24"/>
        </w:rPr>
        <w:t>This Fine Schedule Policy sets the dollar amount(s) of fines assessed under the Compliance and Violation Enforcement Policy. It works together with, and does not replace, that policy: the notice, cure period, and hearing procedures in the Compliance and Violation Enforcement Policy continue to govern how a violation moves through the Courtesy Notice, Second Notice, and Fine Notice steps. This policy governs amount only.</w:t>
      </w:r>
    </w:p>
    <w:p>
      <w:pPr>
        <w:spacing w:before="260" w:after="100"/>
        <w:pBdr>
          <w:bottom w:val="single" w:sz="5" w:space="4" w:color="E6E1D8"/>
        </w:pBdr>
      </w:pPr>
      <w:r>
        <w:rPr>
          <w:rFonts w:ascii="Inter" w:hAnsi="Inter" w:eastAsia="Inter"/>
          <w:b/>
          <w:i w:val="0"/>
          <w:color w:val="C46F3C"/>
          <w:sz w:val="28"/>
        </w:rPr>
        <w:t xml:space="preserve">02  </w:t>
      </w:r>
      <w:r>
        <w:rPr>
          <w:rFonts w:ascii="Inter" w:hAnsi="Inter" w:eastAsia="Inter"/>
          <w:b/>
          <w:i w:val="0"/>
          <w:color w:val="24483B"/>
          <w:sz w:val="28"/>
        </w:rPr>
        <w:t>FINE AMOUNT</w:t>
      </w:r>
    </w:p>
    <w:p>
      <w:pPr>
        <w:spacing w:after="100" w:line="259" w:lineRule="auto"/>
        <w:jc w:val="both"/>
      </w:pPr>
      <w:r>
        <w:rPr>
          <w:rFonts w:ascii="Inter" w:hAnsi="Inter" w:eastAsia="Inter"/>
          <w:b w:val="0"/>
          <w:i w:val="0"/>
          <w:color w:val="292B29"/>
          <w:sz w:val="24"/>
        </w:rPr>
        <w:t>The fine assessed at Step 3 (Fine Notice) of the Compliance and Violation Enforcement Policy shall be:</w:t>
      </w:r>
    </w:p>
    <w:p>
      <w:pPr>
        <w:spacing w:after="100" w:line="259" w:lineRule="auto"/>
        <w:jc w:val="both"/>
      </w:pPr>
      <w:r>
        <w:rPr>
          <w:rFonts w:ascii="Inter" w:hAnsi="Inter" w:eastAsia="Inter"/>
          <w:b w:val="0"/>
          <w:i w:val="0"/>
          <w:color w:val="292B29"/>
          <w:sz w:val="24"/>
        </w:rPr>
        <w:t>$________________ per ________________________</w:t>
      </w:r>
    </w:p>
    <w:p>
      <w:pPr>
        <w:spacing w:after="100" w:line="259" w:lineRule="auto"/>
        <w:jc w:val="both"/>
      </w:pPr>
      <w:r>
        <w:rPr>
          <w:rFonts w:ascii="Inter" w:hAnsi="Inter" w:eastAsia="Inter"/>
          <w:b w:val="0"/>
          <w:i w:val="0"/>
          <w:color w:val="292B29"/>
          <w:sz w:val="24"/>
        </w:rPr>
        <w:t>as established by resolution of the Board of Directors. This amount is stated in the Second Notice under Section 3.2 of the Compliance and Violation Enforcement Policy and becomes effective, if uncured, as described in that policy and in Section 3 below.</w:t>
      </w:r>
    </w:p>
    <w:p>
      <w:pPr>
        <w:spacing w:before="260" w:after="100"/>
        <w:pBdr>
          <w:bottom w:val="single" w:sz="5" w:space="4" w:color="E6E1D8"/>
        </w:pBdr>
      </w:pPr>
      <w:r>
        <w:rPr>
          <w:rFonts w:ascii="Inter" w:hAnsi="Inter" w:eastAsia="Inter"/>
          <w:b/>
          <w:i w:val="0"/>
          <w:color w:val="C46F3C"/>
          <w:sz w:val="28"/>
        </w:rPr>
        <w:t xml:space="preserve">03  </w:t>
      </w:r>
      <w:r>
        <w:rPr>
          <w:rFonts w:ascii="Inter" w:hAnsi="Inter" w:eastAsia="Inter"/>
          <w:b/>
          <w:i w:val="0"/>
          <w:color w:val="24483B"/>
          <w:sz w:val="28"/>
        </w:rPr>
        <w:t>BASIS FOR FINE ACCRUAL</w:t>
      </w:r>
    </w:p>
    <w:p>
      <w:pPr>
        <w:spacing w:after="100" w:line="259" w:lineRule="auto"/>
        <w:jc w:val="both"/>
      </w:pPr>
      <w:r>
        <w:rPr>
          <w:rFonts w:ascii="Inter" w:hAnsi="Inter"/>
          <w:b w:val="0"/>
          <w:i w:val="0"/>
          <w:color w:val="292B29"/>
          <w:sz w:val="24"/>
        </w:rPr>
        <w:t>The fine shall accrue on the basis stated in the Board's adopting resolution and in the applicable violation notice, consistent with the Declaration and the Compliance &amp; Violation Enforcement Policy. The selected basis may distinguish between a one-time violation, a continuing violation, and a repeat occurrence as authorized by the governing documents.</w:t>
      </w:r>
    </w:p>
    <w:p>
      <w:pPr>
        <w:spacing w:after="100" w:line="259" w:lineRule="auto"/>
        <w:jc w:val="both"/>
      </w:pPr>
      <w:r>
        <w:rPr>
          <w:rFonts w:ascii="Inter" w:hAnsi="Inter"/>
          <w:b w:val="0"/>
          <w:i w:val="0"/>
          <w:color w:val="292B29"/>
          <w:sz w:val="24"/>
        </w:rPr>
        <w:t>For continuing or recurring violations, additional fines may be imposed only to the extent authorized by the Declaration and after the notice required for that violation has been provided. The Association shall administer the selected accrual basis consistently.</w:t>
      </w:r>
    </w:p>
    <w:p>
      <w:pPr>
        <w:spacing w:before="260" w:after="100"/>
        <w:pBdr>
          <w:bottom w:val="single" w:sz="5" w:space="4" w:color="E6E1D8"/>
        </w:pBdr>
      </w:pPr>
      <w:r>
        <w:rPr>
          <w:rFonts w:ascii="Inter" w:hAnsi="Inter" w:eastAsia="Inter"/>
          <w:b/>
          <w:i w:val="0"/>
          <w:color w:val="C46F3C"/>
          <w:sz w:val="28"/>
        </w:rPr>
        <w:t xml:space="preserve">04  </w:t>
      </w:r>
      <w:r>
        <w:rPr>
          <w:rFonts w:ascii="Inter" w:hAnsi="Inter" w:eastAsia="Inter"/>
          <w:b/>
          <w:i w:val="0"/>
          <w:color w:val="24483B"/>
          <w:sz w:val="28"/>
        </w:rPr>
        <w:t>REPEAT VIOLATIONS</w:t>
      </w:r>
    </w:p>
    <w:p>
      <w:pPr>
        <w:spacing w:after="100" w:line="259" w:lineRule="auto"/>
        <w:jc w:val="both"/>
      </w:pPr>
      <w:r>
        <w:rPr>
          <w:rFonts w:ascii="Inter" w:hAnsi="Inter" w:eastAsia="Inter"/>
          <w:b w:val="0"/>
          <w:i w:val="0"/>
          <w:color w:val="292B29"/>
          <w:sz w:val="24"/>
        </w:rPr>
        <w:t>If the same violation recurs on the same Parcel after having been cured, the Association may assess the fine amount above without repeating the Courtesy Notice and Second Notice steps, consistent with Declaration §16.C(3), provided a Second Notice was previously issued for that violation type on that Parcel.</w:t>
      </w:r>
    </w:p>
    <w:p>
      <w:pPr>
        <w:spacing w:before="260" w:after="100"/>
        <w:pBdr>
          <w:bottom w:val="single" w:sz="5" w:space="4" w:color="E6E1D8"/>
        </w:pBdr>
      </w:pPr>
      <w:r>
        <w:rPr>
          <w:rFonts w:ascii="Inter" w:hAnsi="Inter" w:eastAsia="Inter"/>
          <w:b/>
          <w:i w:val="0"/>
          <w:color w:val="C46F3C"/>
          <w:sz w:val="28"/>
        </w:rPr>
        <w:t xml:space="preserve">05  </w:t>
      </w:r>
      <w:r>
        <w:rPr>
          <w:rFonts w:ascii="Inter" w:hAnsi="Inter" w:eastAsia="Inter"/>
          <w:b/>
          <w:i w:val="0"/>
          <w:color w:val="24483B"/>
          <w:sz w:val="28"/>
        </w:rPr>
        <w:t>PAYMENT, LIENS, AND ATTORNEYS’ FEES</w:t>
      </w:r>
    </w:p>
    <w:p>
      <w:pPr>
        <w:spacing w:after="100" w:line="259" w:lineRule="auto"/>
        <w:jc w:val="both"/>
      </w:pPr>
      <w:r>
        <w:rPr>
          <w:rFonts w:ascii="Inter" w:hAnsi="Inter" w:eastAsia="Inter"/>
          <w:b w:val="0"/>
          <w:i w:val="0"/>
          <w:color w:val="292B29"/>
          <w:sz w:val="24"/>
        </w:rPr>
        <w:t>Unpaid fines constitute a specific special assessment and a continuing lien against the Parcel under Declaration §6.B, and are subject to the interest, late charge, and payment-application provisions of Declaration §6.C. The Association may recover its costs and reasonably incurred attorneys' fees in collecting an unpaid fine under Declaration §16.F.</w:t>
      </w:r>
    </w:p>
    <w:p>
      <w:pPr>
        <w:spacing w:before="260" w:after="100"/>
        <w:pBdr>
          <w:bottom w:val="single" w:sz="5" w:space="4" w:color="E6E1D8"/>
        </w:pBdr>
      </w:pPr>
      <w:r>
        <w:rPr>
          <w:rFonts w:ascii="Inter" w:hAnsi="Inter" w:eastAsia="Inter"/>
          <w:b/>
          <w:i w:val="0"/>
          <w:color w:val="C46F3C"/>
          <w:sz w:val="28"/>
        </w:rPr>
        <w:t xml:space="preserve">06  </w:t>
      </w:r>
      <w:r>
        <w:rPr>
          <w:rFonts w:ascii="Inter" w:hAnsi="Inter" w:eastAsia="Inter"/>
          <w:b/>
          <w:i w:val="0"/>
          <w:color w:val="24483B"/>
          <w:sz w:val="28"/>
        </w:rPr>
        <w:t>AMENDMENT</w:t>
      </w:r>
    </w:p>
    <w:p>
      <w:pPr>
        <w:spacing w:after="100" w:line="259" w:lineRule="auto"/>
        <w:jc w:val="both"/>
      </w:pPr>
      <w:r>
        <w:rPr>
          <w:rFonts w:ascii="Inter" w:hAnsi="Inter" w:eastAsia="Inter"/>
          <w:b w:val="0"/>
          <w:i w:val="0"/>
          <w:color w:val="292B29"/>
          <w:sz w:val="24"/>
        </w:rPr>
        <w:t>The Board of Directors may amend the fine amount(s) set forth in this policy at any time by resolution, without the necessity of amending the Compliance and Violation Enforcement Policy or the Declaration.</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