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General Property Maintenance &amp; Use Standards</w:t>
      </w:r>
    </w:p>
    <w:p>
      <w:pPr>
        <w:spacing w:after="60"/>
        <w:jc w:val="both"/>
      </w:pPr>
      <w:r>
        <w:rPr>
          <w:rFonts w:ascii="Inter" w:hAnsi="Inter" w:eastAsia="Inter"/>
          <w:b w:val="0"/>
          <w:i w:val="0"/>
          <w:color w:val="7A5943"/>
          <w:sz w:val="24"/>
        </w:rPr>
        <w:t>Community Standards  •  Property Maintenance &amp; Use  •  Draft for Board Review</w:t>
      </w:r>
    </w:p>
    <w:p>
      <w:pPr>
        <w:spacing w:after="180"/>
        <w:pBdr>
          <w:bottom w:val="single" w:sz="6" w:space="4" w:color="E6E1D8"/>
        </w:pBdr>
        <w:jc w:val="both"/>
      </w:pPr>
      <w:r>
        <w:rPr>
          <w:rFonts w:ascii="Inter" w:hAnsi="Inter"/>
          <w:b w:val="0"/>
          <w:i w:val="0"/>
          <w:color w:val="4E514D"/>
          <w:sz w:val="24"/>
        </w:rPr>
        <w:t>Maintenance and use standards implementing Owner maintenance duties and specific use restrictions in the Declaration.</w:t>
      </w:r>
    </w:p>
    <w:p>
      <w:pPr>
        <w:spacing w:before="260" w:after="100"/>
        <w:pBdr>
          <w:bottom w:val="single" w:sz="5" w:space="4" w:color="E6E1D8"/>
        </w:pBdr>
      </w:pPr>
      <w:r>
        <w:rPr>
          <w:rFonts w:ascii="Inter" w:hAnsi="Inter" w:eastAsia="Inter"/>
          <w:b/>
          <w:i w:val="0"/>
          <w:color w:val="24483B"/>
          <w:sz w:val="28"/>
        </w:rPr>
        <w:t>RESOLUTION OF THE BOARD OF DIRECTORS – GENERAL PROPERTY MAINTENANCE &amp; USE STANDARDS</w:t>
      </w:r>
    </w:p>
    <w:p>
      <w:pPr>
        <w:spacing w:after="100" w:line="259" w:lineRule="auto"/>
        <w:jc w:val="both"/>
      </w:pPr>
      <w:r>
        <w:rPr>
          <w:rFonts w:ascii="Inter" w:hAnsi="Inter" w:eastAsia="Inter"/>
          <w:b w:val="0"/>
          <w:i w:val="0"/>
          <w:color w:val="292B29"/>
          <w:sz w:val="24"/>
        </w:rPr>
        <w:t>WHEREAS, Article 3.C.1(d) and (e) of the Bylaws authorize the Board of Directors to make, amend, and enforce reasonable rules and regulations governing the Community and to enforce the Association Legal Documents by legal means;</w:t>
      </w:r>
    </w:p>
    <w:p>
      <w:pPr>
        <w:spacing w:after="100" w:line="259" w:lineRule="auto"/>
        <w:jc w:val="both"/>
      </w:pPr>
      <w:r>
        <w:rPr>
          <w:rFonts w:ascii="Inter" w:hAnsi="Inter" w:eastAsia="Inter"/>
          <w:b w:val="0"/>
          <w:i w:val="0"/>
          <w:color w:val="292B29"/>
          <w:sz w:val="24"/>
        </w:rPr>
        <w:t>WHEREAS, Paragraph 7.A of the Declaration obligates each Owner to maintain the Parcel's roofs, gutters, downspouts, exterior building surfaces, foundations, windows, doors, and walks in good repair, condition, and order, consistent with the Community-Wide Standard;</w:t>
      </w:r>
    </w:p>
    <w:p>
      <w:pPr>
        <w:spacing w:after="100" w:line="259" w:lineRule="auto"/>
        <w:jc w:val="both"/>
      </w:pPr>
      <w:r>
        <w:rPr>
          <w:rFonts w:ascii="Inter" w:hAnsi="Inter" w:eastAsia="Inter"/>
          <w:b w:val="0"/>
          <w:i w:val="0"/>
          <w:color w:val="292B29"/>
          <w:sz w:val="24"/>
        </w:rPr>
        <w:t>WHEREAS, Paragraph 9 of the Declaration sets forth numerous specific use restrictions applicable to all Parcels, including but not limited to trash and rubbish (§9.P), parking (§9.N), pets (§9.M), signs (§9.O), window treatments (§9.X), antennas and satellite dishes (§9.Y), mailboxes (§9.V), drainage (§9.R), erosion (§9.S), firearms (§9.L), number of occupants (§9.H), and use of Common Property (§9.J), several of which expressly authorize the Board to establish additional implementing rules;</w:t>
      </w:r>
    </w:p>
    <w:p>
      <w:pPr>
        <w:spacing w:after="100" w:line="259" w:lineRule="auto"/>
        <w:jc w:val="both"/>
      </w:pPr>
      <w:r>
        <w:rPr>
          <w:rFonts w:ascii="Inter" w:hAnsi="Inter" w:eastAsia="Inter"/>
          <w:b w:val="0"/>
          <w:i w:val="0"/>
          <w:color w:val="292B29"/>
          <w:sz w:val="24"/>
        </w:rPr>
        <w:t>WHEREAS, the Board previously adopted the Landscape Maintenance and Design Standards addressing turf, shrubs, trees, weeds, and bare-earth conditions, and the Board now desires to adopt corresponding objective standards for the remaining maintenance and use topics addressed in the Declaration so that they, too, are consistent and enforceable under the Association's Compliance and Violation Enforcement Policy;</w:t>
      </w:r>
    </w:p>
    <w:p>
      <w:pPr>
        <w:spacing w:after="100" w:line="259" w:lineRule="auto"/>
        <w:jc w:val="both"/>
      </w:pPr>
      <w:r>
        <w:rPr>
          <w:rFonts w:ascii="Inter" w:hAnsi="Inter" w:eastAsia="Inter"/>
          <w:b w:val="0"/>
          <w:i w:val="0"/>
          <w:color w:val="292B29"/>
          <w:sz w:val="24"/>
        </w:rPr>
        <w:t>NOW, THEREFORE, BE IT RESOLVED, that the Board of Directors hereby adopts the attached General Property Maintenance and Use Standards, effective as of the date of adoption below, as part of the Community-Wide Standard governing all Parcels.</w:t>
      </w:r>
    </w:p>
    <w:p>
      <w:pPr>
        <w:spacing w:after="100" w:line="259" w:lineRule="auto"/>
        <w:jc w:val="both"/>
      </w:pPr>
      <w:r>
        <w:rPr>
          <w:rFonts w:ascii="Inter" w:hAnsi="Inter" w:eastAsia="Inter"/>
          <w:b w:val="0"/>
          <w:i w:val="0"/>
          <w:color w:val="292B29"/>
          <w:sz w:val="24"/>
        </w:rPr>
        <w:t>BE IT FURTHER RESOLVED, that this resolution and the attached Standards shall be maintained with the official records of the Association, and enforced through the Association's Compliance and Violation Enforcement Policy and Fine Schedule Resolution.</w:t>
      </w:r>
    </w:p>
    <w:p>
      <w:pPr>
        <w:spacing w:after="100" w:line="259" w:lineRule="auto"/>
        <w:jc w:val="both"/>
      </w:pPr>
      <w:r>
        <w:rPr>
          <w:rFonts w:ascii="Inter" w:hAnsi="Inter" w:eastAsia="Inter"/>
          <w:b w:val="0"/>
          <w:i w:val="0"/>
          <w:color w:val="292B29"/>
          <w:sz w:val="24"/>
        </w:rPr>
        <w:t>Adopted by the Board of Directors this ____ day of ____________, 20____.</w:t>
      </w:r>
    </w:p>
    <w:p>
      <w:pPr>
        <w:spacing w:after="100" w:line="259" w:lineRule="auto"/>
        <w:jc w:val="both"/>
      </w:pPr>
      <w:r>
        <w:rPr>
          <w:rFonts w:ascii="Inter" w:hAnsi="Inter" w:eastAsia="Inter"/>
          <w:b w:val="0"/>
          <w:i w:val="0"/>
          <w:color w:val="292B29"/>
          <w:sz w:val="24"/>
        </w:rPr>
        <w:t>_______________________________     President</w:t>
      </w:r>
    </w:p>
    <w:p>
      <w:pPr>
        <w:spacing w:after="100" w:line="259" w:lineRule="auto"/>
        <w:jc w:val="both"/>
      </w:pPr>
      <w:r>
        <w:rPr>
          <w:rFonts w:ascii="Inter" w:hAnsi="Inter" w:eastAsia="Inter"/>
          <w:b w:val="0"/>
          <w:i w:val="0"/>
          <w:color w:val="292B29"/>
          <w:sz w:val="24"/>
        </w:rPr>
        <w:t>_______________________________     Secretary (Attest)</w:t>
      </w:r>
    </w:p>
    <w:p>
      <w:pPr>
        <w:spacing w:before="260" w:after="100"/>
        <w:pBdr>
          <w:bottom w:val="single" w:sz="5" w:space="4" w:color="E6E1D8"/>
        </w:pBdr>
      </w:pPr>
      <w:r>
        <w:rPr>
          <w:rFonts w:ascii="Inter" w:hAnsi="Inter" w:eastAsia="Inter"/>
          <w:b/>
          <w:i w:val="0"/>
          <w:color w:val="C46F3C"/>
          <w:sz w:val="28"/>
        </w:rPr>
        <w:t xml:space="preserve">01  </w:t>
      </w:r>
      <w:r>
        <w:rPr>
          <w:rFonts w:ascii="Inter" w:hAnsi="Inter" w:eastAsia="Inter"/>
          <w:b/>
          <w:i w:val="0"/>
          <w:color w:val="24483B"/>
          <w:sz w:val="28"/>
        </w:rPr>
        <w:t>PURPOSE AND AUTHORITY</w:t>
      </w:r>
    </w:p>
    <w:p>
      <w:pPr>
        <w:spacing w:after="100" w:line="259" w:lineRule="auto"/>
        <w:jc w:val="both"/>
      </w:pPr>
      <w:r>
        <w:rPr>
          <w:rFonts w:ascii="Inter" w:hAnsi="Inter" w:eastAsia="Inter"/>
          <w:b w:val="0"/>
          <w:i w:val="0"/>
          <w:color w:val="292B29"/>
          <w:sz w:val="24"/>
        </w:rPr>
        <w:t>These Standards implement Paragraph 7.A (Owner's maintenance responsibility) and the specific use restrictions in Paragraph 9 of the Declaration by defining objective, measurable expectations. They supplement, and should be read together with, the Landscape Maintenance and Design Standards. Where a Declaration provision already states a specific numeric limit (for example, sign dimensions), that limit is restated here for reference; where the Declaration leaves a standard to the Board's discretion, the Board may establish implementing standards by resolution.</w:t>
      </w:r>
    </w:p>
    <w:p>
      <w:pPr>
        <w:spacing w:before="260" w:after="100"/>
        <w:pBdr>
          <w:bottom w:val="single" w:sz="5" w:space="4" w:color="E6E1D8"/>
        </w:pBdr>
      </w:pPr>
      <w:r>
        <w:rPr>
          <w:rFonts w:ascii="Inter" w:hAnsi="Inter" w:eastAsia="Inter"/>
          <w:b/>
          <w:i w:val="0"/>
          <w:color w:val="C46F3C"/>
          <w:sz w:val="28"/>
        </w:rPr>
        <w:t xml:space="preserve">02  </w:t>
      </w:r>
      <w:r>
        <w:rPr>
          <w:rFonts w:ascii="Inter" w:hAnsi="Inter" w:eastAsia="Inter"/>
          <w:b/>
          <w:i w:val="0"/>
          <w:color w:val="24483B"/>
          <w:sz w:val="28"/>
        </w:rPr>
        <w:t>QUICK REFERENCE</w:t>
      </w:r>
    </w:p>
    <w:p>
      <w:pPr>
        <w:spacing w:after="100" w:line="259" w:lineRule="auto"/>
        <w:jc w:val="both"/>
      </w:pPr>
      <w:r>
        <w:rPr>
          <w:rFonts w:ascii="Inter" w:hAnsi="Inter" w:eastAsia="Inter"/>
          <w:b w:val="0"/>
          <w:i w:val="0"/>
          <w:color w:val="292B29"/>
          <w:sz w:val="24"/>
        </w:rPr>
        <w:t>In the event of any conflict between this table and the detailed sections that follow, or the Declaration itself, the more specific and, ultimately, the Declaration provision governs.</w:t>
      </w:r>
    </w:p>
    <w:tbl>
      <w:tblPr>
        <w:tblW w:type="auto" w:w="0"/>
        <w:jc w:val="center"/>
        <w:tblLayout w:type="autofit"/>
        <w:tblLook w:firstColumn="1" w:firstRow="1" w:lastColumn="0" w:lastRow="0" w:noHBand="0" w:noVBand="1" w:val="04A0"/>
        <w:tblBorders>
          <w:top w:val="single" w:sz="6" w:space="0" w:color="D8D1C5"/>
          <w:left w:val="single" w:sz="6" w:space="0" w:color="D8D1C5"/>
          <w:bottom w:val="single" w:sz="6" w:space="0" w:color="D8D1C5"/>
          <w:right w:val="single" w:sz="6" w:space="0" w:color="D8D1C5"/>
          <w:insideH w:val="single" w:sz="6" w:space="0" w:color="D8D1C5"/>
          <w:insideV w:val="single" w:sz="6" w:space="0" w:color="D8D1C5"/>
        </w:tblBorders>
      </w:tblPr>
      <w:tblGrid>
        <w:gridCol w:w="3312"/>
        <w:gridCol w:w="3312"/>
        <w:gridCol w:w="3312"/>
      </w:tblGrid>
      <w:tr>
        <w:trPr>
          <w:tblHeader w:val="true"/>
        </w:trPr>
        <w:tc>
          <w:tcPr>
            <w:tcW w:type="dxa" w:w="3312"/>
            <w:shd w:fill="24483B"/>
            <w:tcMar>
              <w:top w:w="100" w:type="dxa"/>
              <w:start w:w="120" w:type="dxa"/>
              <w:bottom w:w="100" w:type="dxa"/>
              <w:end w:w="120" w:type="dxa"/>
            </w:tcMar>
            <w:tcBorders>
              <w:top w:val="single" w:sz="3" w:color="24483B"/>
              <w:left w:val="single" w:sz="3" w:color="24483B"/>
              <w:bottom w:val="single" w:sz="3" w:color="24483B"/>
              <w:right w:val="single" w:sz="3" w:color="24483B"/>
            </w:tcBorders>
          </w:tcPr>
          <w:p>
            <w:pPr>
              <w:spacing w:after="40" w:line="240" w:lineRule="auto"/>
            </w:pPr>
            <w:r>
              <w:rPr>
                <w:rFonts w:ascii="Inter" w:hAnsi="Inter" w:eastAsia="Inter"/>
                <w:b/>
                <w:i w:val="0"/>
                <w:color w:val="FFFFFF"/>
                <w:sz w:val="24"/>
              </w:rPr>
              <w:t>ITEM</w:t>
            </w:r>
          </w:p>
        </w:tc>
        <w:tc>
          <w:tcPr>
            <w:tcW w:type="dxa" w:w="3312"/>
            <w:shd w:fill="24483B"/>
            <w:tcMar>
              <w:top w:w="100" w:type="dxa"/>
              <w:start w:w="120" w:type="dxa"/>
              <w:bottom w:w="100" w:type="dxa"/>
              <w:end w:w="120" w:type="dxa"/>
            </w:tcMar>
            <w:tcBorders>
              <w:top w:val="single" w:sz="3" w:color="24483B"/>
              <w:left w:val="single" w:sz="3" w:color="24483B"/>
              <w:bottom w:val="single" w:sz="3" w:color="24483B"/>
              <w:right w:val="single" w:sz="3" w:color="24483B"/>
            </w:tcBorders>
          </w:tcPr>
          <w:p>
            <w:pPr>
              <w:spacing w:after="40" w:line="240" w:lineRule="auto"/>
            </w:pPr>
            <w:r>
              <w:rPr>
                <w:rFonts w:ascii="Inter" w:hAnsi="Inter" w:eastAsia="Inter"/>
                <w:b/>
                <w:i w:val="0"/>
                <w:color w:val="FFFFFF"/>
                <w:sz w:val="24"/>
              </w:rPr>
              <w:t>STANDARD</w:t>
            </w:r>
          </w:p>
        </w:tc>
        <w:tc>
          <w:tcPr>
            <w:tcW w:type="dxa" w:w="3312"/>
            <w:shd w:fill="24483B"/>
            <w:tcMar>
              <w:top w:w="100" w:type="dxa"/>
              <w:start w:w="120" w:type="dxa"/>
              <w:bottom w:w="100" w:type="dxa"/>
              <w:end w:w="120" w:type="dxa"/>
            </w:tcMar>
            <w:tcBorders>
              <w:top w:val="single" w:sz="3" w:color="24483B"/>
              <w:left w:val="single" w:sz="3" w:color="24483B"/>
              <w:bottom w:val="single" w:sz="3" w:color="24483B"/>
              <w:right w:val="single" w:sz="3" w:color="24483B"/>
            </w:tcBorders>
          </w:tcPr>
          <w:p>
            <w:pPr>
              <w:spacing w:after="40" w:line="240" w:lineRule="auto"/>
            </w:pPr>
            <w:r>
              <w:rPr>
                <w:rFonts w:ascii="Inter" w:hAnsi="Inter" w:eastAsia="Inter"/>
                <w:b/>
                <w:i w:val="0"/>
                <w:color w:val="FFFFFF"/>
                <w:sz w:val="24"/>
              </w:rPr>
              <w:t>DECLARATION</w:t>
            </w:r>
          </w:p>
        </w:tc>
      </w:tr>
      <w:tr>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Exterior surfaces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Reasonably clean and serviceable; free from substantial visible buildup or deterioration.</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§7.A</w:t>
            </w:r>
          </w:p>
        </w:tc>
      </w:tr>
      <w:tr>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Driveways &amp; walkways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Reasonably clean, serviceable, and free from material safety or maintenance concerns.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§7.A</w:t>
            </w:r>
          </w:p>
        </w:tc>
      </w:tr>
      <w:tr>
        <w:tc>
          <w:tcPr>
            <w:tcW w:type="dxa" w:w="3312"/>
            <w:tcMar>
              <w:top w:w="100" w:type="dxa"/>
              <w:start w:w="120" w:type="dxa"/>
              <w:bottom w:w="100" w:type="dxa"/>
              <w:end w:w="120" w:type="dxa"/>
            </w:tcMar>
          </w:tcPr>
          <w:p>
            <w:pPr>
              <w:spacing w:after="40" w:line="240" w:lineRule="auto"/>
              <w:jc w:val="both"/>
            </w:pPr>
            <w:r>
              <w:rPr>
                <w:rFonts w:ascii="Inter" w:hAnsi="Inter" w:eastAsia="Inter"/>
                <w:sz w:val="24"/>
              </w:rPr>
              <w:t>Fences</w:t>
            </w:r>
          </w:p>
        </w:tc>
        <w:tc>
          <w:tcPr>
            <w:tcW w:type="dxa" w:w="3312"/>
            <w:tcMar>
              <w:top w:w="100" w:type="dxa"/>
              <w:start w:w="120" w:type="dxa"/>
              <w:bottom w:w="100" w:type="dxa"/>
              <w:end w:w="120" w:type="dxa"/>
            </w:tcMar>
          </w:tcPr>
          <w:p>
            <w:pPr>
              <w:jc w:val="both"/>
            </w:pPr>
            <w:r>
              <w:rPr>
                <w:sz w:val="24"/>
              </w:rPr>
              <w:t>Good repair and upright; material replacement or alteration subject to DRC approval as required; finished-side requirements apply.</w:t>
            </w:r>
          </w:p>
        </w:tc>
        <w:tc>
          <w:tcPr>
            <w:tcW w:type="dxa" w:w="3312"/>
            <w:tcMar>
              <w:top w:w="100" w:type="dxa"/>
              <w:start w:w="120" w:type="dxa"/>
              <w:bottom w:w="100" w:type="dxa"/>
              <w:end w:w="120" w:type="dxa"/>
            </w:tcMar>
          </w:tcPr>
          <w:p>
            <w:pPr>
              <w:spacing w:after="40" w:line="240" w:lineRule="auto"/>
            </w:pPr>
            <w:r>
              <w:rPr>
                <w:rFonts w:ascii="Inter" w:hAnsi="Inter" w:eastAsia="Inter"/>
                <w:sz w:val="24"/>
              </w:rPr>
              <w:t>§8.B–C; §9.U</w:t>
            </w:r>
          </w:p>
        </w:tc>
      </w:tr>
      <w:tr>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Trash/recycling cans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sz w:val="24"/>
              </w:rPr>
              <w:t>Stored out of street view; curbside no earlier than 6:00 p.m. the evening before collection; returned to storage by midnight on collection day. Yard debris and bulk items follow the same curbside placement window.</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§9.P</w:t>
            </w:r>
          </w:p>
        </w:tc>
      </w:tr>
      <w:tr>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Parking – ordinary vehicles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sz w:val="24"/>
              </w:rPr>
              <w:t>Vehicles must be parked in garages, driveways, or other areas authorized in writing by the Board.</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§9.N(2)</w:t>
            </w:r>
          </w:p>
        </w:tc>
      </w:tr>
      <w:tr>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Boats/RVs/trailers &amp; other prohibited vehicles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Board-approved temporary driveway parking for up to 7 consecutive days for cleaning, loading/unloading, storage preparation, trip preparation, maintenance, or similar temporary purposes.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§9.N(2)</w:t>
            </w:r>
          </w:p>
        </w:tc>
      </w:tr>
      <w:tr>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Pets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No more than 4 dogs and/or cats combined per Living Unit; leash requirements apply; waste removed promptly.</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§9.M</w:t>
            </w:r>
          </w:p>
        </w:tc>
      </w:tr>
      <w:tr>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Signs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One security sign (6"x6"), one “For Sale” sign (24"x30"), removed within 5 days of sale/closing or event.</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§9.O</w:t>
            </w:r>
          </w:p>
        </w:tc>
      </w:tr>
      <w:tr>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Window treatments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Customary treatments installed within 30 days of occupancy; no sheets, foil, cardboard, or paper as a treatment.</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§9.X</w:t>
            </w:r>
          </w:p>
        </w:tc>
      </w:tr>
      <w:tr>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Antennas/satellite dishes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One meter or less, least conspicuous location achieving acceptable signal.</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§9.Y</w:t>
            </w:r>
          </w:p>
        </w:tc>
      </w:tr>
      <w:tr>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Mailboxes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One per Parcel; comply with applicable USPS placement requirements and any Board-published Community standard; maintain in good repair.</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§9.V</w:t>
            </w:r>
          </w:p>
        </w:tc>
      </w:tr>
      <w:tr>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Drainage</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No obstruction of catch basins/grates; downspouts may not discharge directly onto a neighboring Parcel.</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§9.R</w:t>
            </w:r>
          </w:p>
        </w:tc>
      </w:tr>
      <w:tr>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Occupancy</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No more than 2 occupants per bedroom, as depicted on approved plans.</w:t>
            </w:r>
          </w:p>
        </w:tc>
        <w:tc>
          <w:tcPr>
            <w:tcW w:type="dxa" w:w="3312"/>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§9.H</w:t>
            </w:r>
          </w:p>
        </w:tc>
      </w:tr>
    </w:tbl>
    <w:p>
      <w:pPr>
        <w:spacing w:after="20"/>
      </w:pPr>
    </w:p>
    <w:p>
      <w:pPr>
        <w:spacing w:before="260" w:after="100"/>
        <w:pBdr>
          <w:bottom w:val="single" w:sz="5" w:space="4" w:color="E6E1D8"/>
        </w:pBdr>
      </w:pPr>
      <w:r>
        <w:rPr>
          <w:rFonts w:ascii="Inter" w:hAnsi="Inter" w:eastAsia="Inter"/>
          <w:b/>
          <w:i w:val="0"/>
          <w:color w:val="C46F3C"/>
          <w:sz w:val="28"/>
        </w:rPr>
        <w:t xml:space="preserve">03  </w:t>
      </w:r>
      <w:r>
        <w:rPr>
          <w:rFonts w:ascii="Inter" w:hAnsi="Inter" w:eastAsia="Inter"/>
          <w:b/>
          <w:i w:val="0"/>
          <w:color w:val="24483B"/>
          <w:sz w:val="28"/>
        </w:rPr>
        <w:t>EXTERIOR BUILDING SURFACES</w:t>
      </w:r>
    </w:p>
    <w:p>
      <w:pPr>
        <w:spacing w:after="100" w:line="259" w:lineRule="auto"/>
        <w:ind w:left="317" w:hanging="202"/>
        <w:jc w:val="both"/>
      </w:pPr>
      <w:r>
        <w:rPr>
          <w:rFonts w:ascii="Inter" w:hAnsi="Inter"/>
          <w:b/>
          <w:i w:val="0"/>
          <w:color w:val="C46F3C"/>
          <w:sz w:val="24"/>
        </w:rPr>
        <w:t>•  Siding, brick, stucco, trim, and other exterior surfaces shall be maintained in a reasonably clean and serviceable condition and free from substantial visible accumulation of mildew, mold, algae, or dirt.</w:t>
      </w:r>
    </w:p>
    <w:p>
      <w:pPr>
        <w:spacing w:after="100" w:line="259" w:lineRule="auto"/>
        <w:ind w:left="317" w:hanging="202"/>
        <w:jc w:val="both"/>
      </w:pPr>
      <w:r>
        <w:rPr>
          <w:rFonts w:ascii="Inter" w:hAnsi="Inter"/>
          <w:b/>
          <w:i w:val="0"/>
          <w:color w:val="C46F3C"/>
          <w:sz w:val="24"/>
        </w:rPr>
        <w:t>•  Paint and stain finishes shall be maintained so substantial peeling, cracking, or deterioration visible from the street or adjoining property is corrected within a reasonable period after notice.</w:t>
      </w:r>
    </w:p>
    <w:p>
      <w:pPr>
        <w:spacing w:after="100" w:line="259" w:lineRule="auto"/>
        <w:ind w:left="317" w:hanging="202"/>
        <w:jc w:val="both"/>
      </w:pPr>
      <w:r>
        <w:rPr>
          <w:rFonts w:ascii="Inter" w:hAnsi="Inter"/>
          <w:b/>
          <w:i w:val="0"/>
          <w:color w:val="C46F3C"/>
          <w:sz w:val="24"/>
        </w:rPr>
        <w:t>•  Roofs, gutters, and downspouts shall be maintained in good repair and free from material conditions that create an unsafe, damaged, or visibly neglected appearance.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Windows and doors shall be free of broken or cracked glass and missing or torn screens visible from the street.</w:t>
      </w:r>
    </w:p>
    <w:p>
      <w:pPr>
        <w:spacing w:before="260" w:after="100"/>
        <w:pBdr>
          <w:bottom w:val="single" w:sz="5" w:space="4" w:color="E6E1D8"/>
        </w:pBdr>
      </w:pPr>
      <w:r>
        <w:rPr>
          <w:rFonts w:ascii="Inter" w:hAnsi="Inter" w:eastAsia="Inter"/>
          <w:b/>
          <w:i w:val="0"/>
          <w:color w:val="C46F3C"/>
          <w:sz w:val="28"/>
        </w:rPr>
        <w:t xml:space="preserve">04  </w:t>
      </w:r>
      <w:r>
        <w:rPr>
          <w:rFonts w:ascii="Inter" w:hAnsi="Inter" w:eastAsia="Inter"/>
          <w:b/>
          <w:i w:val="0"/>
          <w:color w:val="24483B"/>
          <w:sz w:val="28"/>
        </w:rPr>
        <w:t>DRIVEWAYS, WALKWAYS, AND HARDSCAPE</w:t>
      </w:r>
    </w:p>
    <w:p>
      <w:pPr>
        <w:spacing w:after="100" w:line="259" w:lineRule="auto"/>
        <w:ind w:left="317" w:hanging="202"/>
        <w:jc w:val="both"/>
      </w:pPr>
      <w:r>
        <w:rPr>
          <w:rFonts w:ascii="Inter" w:hAnsi="Inter"/>
          <w:b/>
          <w:i w:val="0"/>
          <w:color w:val="C46F3C"/>
          <w:sz w:val="24"/>
        </w:rPr>
        <w:t>•  Driveways and walkways shall be maintained in a reasonably clean and serviceable condition, including reasonable control of oil staining, mildew, moss, algae, and similar buildup.</w:t>
      </w:r>
    </w:p>
    <w:p>
      <w:pPr>
        <w:spacing w:after="100" w:line="259" w:lineRule="auto"/>
        <w:ind w:left="317" w:hanging="202"/>
        <w:jc w:val="both"/>
      </w:pPr>
      <w:r>
        <w:rPr>
          <w:rFonts w:ascii="Inter" w:hAnsi="Inter"/>
          <w:b/>
          <w:i w:val="0"/>
          <w:color w:val="C46F3C"/>
          <w:sz w:val="24"/>
        </w:rPr>
        <w:t>•  Cracked, heaved, or settled sections that create a material safety or maintenance concern shall be repaired within a reasonable period after notice.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Weeds growing in driveway, walkway, or curb expansion joints and cracks are subject to the weed standards in the Landscape Maintenance and Design Standards.</w:t>
      </w:r>
    </w:p>
    <w:p>
      <w:pPr>
        <w:spacing w:before="260" w:after="100"/>
        <w:pBdr>
          <w:bottom w:val="single" w:sz="5" w:space="4" w:color="E6E1D8"/>
        </w:pBdr>
      </w:pPr>
      <w:r>
        <w:rPr>
          <w:rFonts w:ascii="Inter" w:hAnsi="Inter" w:eastAsia="Inter"/>
          <w:b/>
          <w:sz w:val="28"/>
        </w:rPr>
        <w:t>05  FENCES</w:t>
      </w:r>
    </w:p>
    <w:p>
      <w:pPr>
        <w:spacing w:after="100" w:line="259" w:lineRule="auto"/>
        <w:ind w:left="317" w:hanging="202"/>
        <w:jc w:val="both"/>
      </w:pPr>
      <w:r>
        <w:rPr>
          <w:rFonts w:ascii="Inter" w:hAnsi="Inter" w:eastAsia="Inter"/>
          <w:sz w:val="24"/>
        </w:rPr>
        <w:t>•  Fences shall be maintained in good repair and in a neat, structurally sound condition. Fence sections and posts shall remain upright and shall not be substantially leaning, broken, missing, loose, rotted, or otherwise visibly deteriorated.</w:t>
      </w:r>
    </w:p>
    <w:p>
      <w:pPr>
        <w:spacing w:after="100" w:line="259" w:lineRule="auto"/>
        <w:ind w:left="317" w:hanging="202"/>
        <w:jc w:val="both"/>
      </w:pPr>
      <w:r>
        <w:rPr>
          <w:rFonts w:ascii="Inter" w:hAnsi="Inter"/>
          <w:sz w:val="24"/>
        </w:rPr>
        <w:t>•  Replacement or material alteration of a fence requires prior DRC approval to the extent required by the Declaration and applicable DRC procedures. Ordinary repairs that do not materially change an approved design, location, height, material, or exterior appearance may be performed as maintenance unless the governing documents require additional approval.</w:t>
      </w:r>
    </w:p>
    <w:p>
      <w:pPr>
        <w:spacing w:after="100" w:line="259" w:lineRule="auto"/>
        <w:ind w:left="317" w:hanging="202"/>
        <w:jc w:val="both"/>
      </w:pPr>
      <w:r>
        <w:rPr>
          <w:rFonts w:ascii="Inter" w:hAnsi="Inter" w:eastAsia="Inter"/>
          <w:sz w:val="24"/>
        </w:rPr>
        <w:t>•  For a fence enclosing a yard or other area, rails, posts, cross-members, and other structural supports shall face the interior of the enclosed area so that the finished side faces outward. Structural supports shall not be visible from the street or from neighboring properties.</w:t>
      </w:r>
    </w:p>
    <w:p>
      <w:pPr>
        <w:spacing w:after="100" w:line="259" w:lineRule="auto"/>
        <w:ind w:left="317" w:hanging="202"/>
        <w:jc w:val="both"/>
      </w:pPr>
      <w:r>
        <w:rPr>
          <w:rFonts w:ascii="Inter" w:hAnsi="Inter" w:eastAsia="Inter"/>
          <w:sz w:val="24"/>
        </w:rPr>
        <w:t>•  Where a fence consists of a partial panel, divider, screening panel, or other configuration that does not create a fully enclosed yard, the installation shall be designed and finished on both exposed sides, or otherwise constructed so that structural supports are screened or enclosed and are not visible from a street or neighboring property.</w:t>
      </w:r>
    </w:p>
    <w:p>
      <w:pPr>
        <w:spacing w:before="260" w:after="100"/>
        <w:pBdr>
          <w:bottom w:val="single" w:sz="5" w:space="4" w:color="E6E1D8"/>
        </w:pBdr>
      </w:pPr>
      <w:r>
        <w:rPr>
          <w:rFonts w:ascii="Inter" w:hAnsi="Inter" w:eastAsia="Inter"/>
          <w:b/>
          <w:i w:val="0"/>
          <w:color w:val="C46F3C"/>
          <w:sz w:val="28"/>
        </w:rPr>
        <w:t xml:space="preserve">06  </w:t>
      </w:r>
      <w:r>
        <w:rPr>
          <w:rFonts w:ascii="Inter" w:hAnsi="Inter" w:eastAsia="Inter"/>
          <w:b/>
          <w:i w:val="0"/>
          <w:color w:val="24483B"/>
          <w:sz w:val="28"/>
        </w:rPr>
        <w:t>TRASH, RECYCLING, AND GARBAGE CONTAINERS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Trash and recycling containers shall be stored out of view from the street, such as in a garage, side yard screened from street view, or an enclosure approved by the DRC, except as provided below.</w:t>
      </w:r>
    </w:p>
    <w:p>
      <w:pPr>
        <w:spacing w:after="100" w:line="259" w:lineRule="auto"/>
        <w:ind w:left="317" w:hanging="202"/>
        <w:jc w:val="both"/>
      </w:pPr>
      <w:r>
        <w:rPr>
          <w:rFonts w:ascii="Inter" w:hAnsi="Inter" w:eastAsia="Inter"/>
          <w:b/>
          <w:i w:val="0"/>
          <w:color w:val="C46F3C"/>
          <w:sz w:val="24"/>
        </w:rPr>
        <w:t>•  Containers may be placed at the curb no earlier than 6:00 p.m. the evening before scheduled collection and must be returned to their approved storage location no later than midnight on the day of collection.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All rubbish and trash shall be bagged or otherwise contained to prevent scattering, consistent with Declaration §9.P.</w:t>
      </w:r>
    </w:p>
    <w:p>
      <w:pPr>
        <w:spacing w:after="100" w:line="259" w:lineRule="auto"/>
        <w:ind w:left="317" w:hanging="202"/>
        <w:jc w:val="both"/>
      </w:pPr>
      <w:r>
        <w:rPr>
          <w:rFonts w:ascii="Inter" w:hAnsi="Inter" w:eastAsia="Inter"/>
          <w:sz w:val="24"/>
        </w:rPr>
        <w:t>•  Yard debris and bulk trash or large-item collection materials may be placed at the curb no earlier than 6:00 p.m. the evening before the scheduled collection day. Such materials shall not be placed curbside days in advance of collection and shall be removed from curbside promptly if not collected as scheduled.</w:t>
      </w:r>
    </w:p>
    <w:p>
      <w:pPr>
        <w:spacing w:before="260" w:after="100"/>
        <w:pBdr>
          <w:bottom w:val="single" w:sz="5" w:space="4" w:color="E6E1D8"/>
        </w:pBdr>
      </w:pPr>
      <w:r>
        <w:rPr>
          <w:rFonts w:ascii="Inter" w:hAnsi="Inter" w:eastAsia="Inter"/>
          <w:b/>
          <w:i w:val="0"/>
          <w:color w:val="C46F3C"/>
          <w:sz w:val="28"/>
        </w:rPr>
        <w:t xml:space="preserve">07  </w:t>
      </w:r>
      <w:r>
        <w:rPr>
          <w:rFonts w:ascii="Inter" w:hAnsi="Inter" w:eastAsia="Inter"/>
          <w:b/>
          <w:i w:val="0"/>
          <w:color w:val="24483B"/>
          <w:sz w:val="28"/>
        </w:rPr>
        <w:t>PARKING AND VEHICLES</w:t>
      </w:r>
    </w:p>
    <w:p>
      <w:pPr>
        <w:spacing w:after="100" w:line="259" w:lineRule="auto"/>
        <w:jc w:val="both"/>
      </w:pPr>
      <w:r>
        <w:rPr>
          <w:rFonts w:ascii="Inter" w:hAnsi="Inter" w:eastAsia="Inter"/>
          <w:b w:val="0"/>
          <w:i w:val="0"/>
          <w:color w:val="292B29"/>
          <w:sz w:val="24"/>
        </w:rPr>
        <w:t>This Section clarifies application of Declaration §9.N, which governs vehicle types and parking locations and authorizes the Board to approve otherwise prohibited vehicle parking in appropriate circumstances: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Vehicles permitted under Declaration §9.N(2) may be parked in garages, driveways, designated parking spaces, or other areas authorized in writing by the Board. Parking on grass or landscaped areas is prohibited.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Disabled or stored vehicles remain prohibited outside a garage except as otherwise permitted by the Declaration or approved by the Board.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Notwithstanding the general prohibition in Declaration §9.N(2), the Board grants standing approval for boats, jet-skis, trailers, recreational vehicles, motor homes, campers, commercial vehicles, and the other vehicle types listed in Declaration §9.N(2) to be temporarily parked in the driveway of a Single-Family Residential Parcel for no more than seven (7) consecutive days.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This temporary approval is intended to allow reasonable short-term activities such as cleaning, loading or unloading, preparation for or return from travel, maintenance, storage preparation, or similar temporary purposes.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At the end of the seven-day period, the vehicle must be removed from outside parking within the Community or placed in a garage unless the Owner has obtained a separate written exception from the Board.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This standing temporary approval does not authorize parking on Common Property, grass, landscaped areas, or any location otherwise prohibited by the Declaration, and does not waive other applicable restrictions.</w:t>
      </w:r>
    </w:p>
    <w:p>
      <w:pPr>
        <w:spacing w:before="260" w:after="100"/>
        <w:pBdr>
          <w:bottom w:val="single" w:sz="5" w:space="4" w:color="E6E1D8"/>
        </w:pBdr>
      </w:pPr>
      <w:r>
        <w:rPr>
          <w:rFonts w:ascii="Inter" w:hAnsi="Inter" w:eastAsia="Inter"/>
          <w:b/>
          <w:i w:val="0"/>
          <w:color w:val="C46F3C"/>
          <w:sz w:val="28"/>
        </w:rPr>
        <w:t xml:space="preserve">08  </w:t>
      </w:r>
      <w:r>
        <w:rPr>
          <w:rFonts w:ascii="Inter" w:hAnsi="Inter" w:eastAsia="Inter"/>
          <w:b/>
          <w:i w:val="0"/>
          <w:color w:val="24483B"/>
          <w:sz w:val="28"/>
        </w:rPr>
        <w:t>PETS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No more than 4 dogs and/or cats, in combination, may be kept per Living Unit, absent a written exception from the Board.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Dogs must be leashed and under physical control at all times when outdoors and outside a fully fenced area, consistent with Declaration §9.M.</w:t>
      </w:r>
    </w:p>
    <w:p>
      <w:pPr>
        <w:spacing w:after="100" w:line="259" w:lineRule="auto"/>
        <w:ind w:left="317" w:hanging="202"/>
        <w:jc w:val="both"/>
      </w:pPr>
      <w:r>
        <w:rPr>
          <w:rFonts w:ascii="Inter" w:hAnsi="Inter"/>
          <w:b/>
          <w:i w:val="0"/>
          <w:color w:val="C46F3C"/>
          <w:sz w:val="24"/>
        </w:rPr>
        <w:t>•  Pet waste on Common Property or another Owner's Parcel shall be removed promptly by the pet's owner or responsible party.</w:t>
      </w:r>
    </w:p>
    <w:p>
      <w:pPr>
        <w:spacing w:before="260" w:after="100"/>
        <w:pBdr>
          <w:bottom w:val="single" w:sz="5" w:space="4" w:color="E6E1D8"/>
        </w:pBdr>
      </w:pPr>
      <w:r>
        <w:rPr>
          <w:rFonts w:ascii="Inter" w:hAnsi="Inter" w:eastAsia="Inter"/>
          <w:b/>
          <w:i w:val="0"/>
          <w:color w:val="C46F3C"/>
          <w:sz w:val="28"/>
        </w:rPr>
        <w:t xml:space="preserve">09  </w:t>
      </w:r>
      <w:r>
        <w:rPr>
          <w:rFonts w:ascii="Inter" w:hAnsi="Inter" w:eastAsia="Inter"/>
          <w:b/>
          <w:i w:val="0"/>
          <w:color w:val="24483B"/>
          <w:sz w:val="28"/>
        </w:rPr>
        <w:t>SIGNS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One professional security sign, not exceeding 6 inches by 6 inches, is permitted per Parcel.</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One professionally lettered “For Sale” sign, not exceeding 24 inches by 30 inches, is permitted while the Parcel is actively listed, and shall be removed within 5 days of closing or withdrawal from listing.</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One political candidate endorsement placard, not exceeding 24 inches by 30 inches, is permitted from 30 days before an election through 5 days after the election, per Declaration §9.O.</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All other signs, banners, and posters require prior written Board or DRC approval, except temporary signs the Board has authorized by rule (for example, open-house or birthday signage) under Declaration §9.O.</w:t>
      </w:r>
    </w:p>
    <w:p>
      <w:pPr>
        <w:spacing w:before="260" w:after="100"/>
        <w:pBdr>
          <w:bottom w:val="single" w:sz="5" w:space="4" w:color="E6E1D8"/>
        </w:pBdr>
      </w:pPr>
      <w:r>
        <w:rPr>
          <w:rFonts w:ascii="Inter" w:hAnsi="Inter" w:eastAsia="Inter"/>
          <w:b/>
          <w:i w:val="0"/>
          <w:color w:val="C46F3C"/>
          <w:sz w:val="28"/>
        </w:rPr>
        <w:t xml:space="preserve">10  </w:t>
      </w:r>
      <w:r>
        <w:rPr>
          <w:rFonts w:ascii="Inter" w:hAnsi="Inter" w:eastAsia="Inter"/>
          <w:b/>
          <w:i w:val="0"/>
          <w:color w:val="24483B"/>
          <w:sz w:val="28"/>
        </w:rPr>
        <w:t>WINDOW TREATMENTS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Customary and appropriate window treatments (blinds, shades, curtains, or similar) shall be installed on all windows facing a street or another Living Unit within 30 days of occupancy.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Sheets, cardboard, aluminum foil, newspaper, or similar temporary materials are not an acceptable window treatment at any time.</w:t>
      </w:r>
    </w:p>
    <w:p>
      <w:pPr>
        <w:spacing w:before="260" w:after="100"/>
        <w:pBdr>
          <w:bottom w:val="single" w:sz="5" w:space="4" w:color="E6E1D8"/>
        </w:pBdr>
      </w:pPr>
      <w:r>
        <w:rPr>
          <w:rFonts w:ascii="Inter" w:hAnsi="Inter" w:eastAsia="Inter"/>
          <w:b/>
          <w:i w:val="0"/>
          <w:color w:val="C46F3C"/>
          <w:sz w:val="28"/>
        </w:rPr>
        <w:t xml:space="preserve">11  </w:t>
      </w:r>
      <w:r>
        <w:rPr>
          <w:rFonts w:ascii="Inter" w:hAnsi="Inter" w:eastAsia="Inter"/>
          <w:b/>
          <w:i w:val="0"/>
          <w:color w:val="24483B"/>
          <w:sz w:val="28"/>
        </w:rPr>
        <w:t>ANTENNAS AND SATELLITE DISHES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Permitted antennas and satellite dishes one meter or less in diameter shall be installed in the least conspicuous location on the Parcel that still achieves an acceptable quality signal.</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All other antenna types require prior written Board approval.</w:t>
      </w:r>
    </w:p>
    <w:p>
      <w:pPr>
        <w:spacing w:before="260" w:after="100"/>
        <w:pBdr>
          <w:bottom w:val="single" w:sz="5" w:space="4" w:color="E6E1D8"/>
        </w:pBdr>
      </w:pPr>
      <w:r>
        <w:rPr>
          <w:rFonts w:ascii="Inter" w:hAnsi="Inter" w:eastAsia="Inter"/>
          <w:b/>
          <w:i w:val="0"/>
          <w:color w:val="C46F3C"/>
          <w:sz w:val="28"/>
        </w:rPr>
        <w:t xml:space="preserve">12  </w:t>
      </w:r>
      <w:r>
        <w:rPr>
          <w:rFonts w:ascii="Inter" w:hAnsi="Inter" w:eastAsia="Inter"/>
          <w:b/>
          <w:i w:val="0"/>
          <w:color w:val="24483B"/>
          <w:sz w:val="28"/>
        </w:rPr>
        <w:t>MAILBOXES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Only one mailbox is permitted per Parcel.</w:t>
      </w:r>
    </w:p>
    <w:p>
      <w:pPr>
        <w:spacing w:after="100" w:line="259" w:lineRule="auto"/>
        <w:ind w:left="317" w:hanging="202"/>
        <w:jc w:val="both"/>
      </w:pPr>
      <w:r>
        <w:rPr>
          <w:rFonts w:ascii="Inter" w:hAnsi="Inter"/>
          <w:sz w:val="24"/>
        </w:rPr>
        <w:t>•  Curbside mailboxes shall be installed and maintained in accordance with applicable U.S. Postal Service placement requirements and any Board-published Community standard.</w:t>
      </w:r>
    </w:p>
    <w:p>
      <w:pPr>
        <w:spacing w:after="100" w:line="259" w:lineRule="auto"/>
        <w:ind w:left="317" w:hanging="202"/>
        <w:jc w:val="both"/>
      </w:pPr>
      <w:r>
        <w:rPr>
          <w:rFonts w:ascii="Inter" w:hAnsi="Inter"/>
          <w:b/>
          <w:i w:val="0"/>
          <w:color w:val="C46F3C"/>
          <w:sz w:val="24"/>
        </w:rPr>
        <w:t>•  Mailboxes and mailbox posts shall be kept clean, upright, secure, and in good repair. Damaged or materially deteriorated mailboxes or posts shall be repaired, reset, cleaned, or replaced within a reasonable period after notice or damage, as applicable.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The Board may publish a specific mailbox and post style for the Community; where published, replacements shall conform to that style.</w:t>
      </w:r>
    </w:p>
    <w:p>
      <w:pPr>
        <w:spacing w:before="260" w:after="100"/>
        <w:pBdr>
          <w:bottom w:val="single" w:sz="5" w:space="4" w:color="E6E1D8"/>
        </w:pBdr>
      </w:pPr>
      <w:r>
        <w:rPr>
          <w:rFonts w:ascii="Inter" w:hAnsi="Inter" w:eastAsia="Inter"/>
          <w:b/>
          <w:i w:val="0"/>
          <w:color w:val="C46F3C"/>
          <w:sz w:val="28"/>
        </w:rPr>
        <w:t xml:space="preserve">13  </w:t>
      </w:r>
      <w:r>
        <w:rPr>
          <w:rFonts w:ascii="Inter" w:hAnsi="Inter" w:eastAsia="Inter"/>
          <w:b/>
          <w:i w:val="0"/>
          <w:color w:val="24483B"/>
          <w:sz w:val="28"/>
        </w:rPr>
        <w:t>DRAINAGE AND EROSION CONTROL</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Catch basins, drainage grates, and headwalls on a Parcel shall be kept clear of obstructions and debris.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Downspouts and other concentrated drainage shall not be redirected so as to discharge directly onto an adjoining Parcel without that Owner's consent.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Owners shall not engage in activity that creates erosion, siltation, or contamination of any stream, water course, or slope-control area, and are liable for resulting damage and restoration costs.</w:t>
      </w:r>
    </w:p>
    <w:p>
      <w:pPr>
        <w:spacing w:before="260" w:after="100"/>
        <w:pBdr>
          <w:bottom w:val="single" w:sz="5" w:space="4" w:color="E6E1D8"/>
        </w:pBdr>
      </w:pPr>
      <w:r>
        <w:rPr>
          <w:rFonts w:ascii="Inter" w:hAnsi="Inter" w:eastAsia="Inter"/>
          <w:b/>
          <w:i w:val="0"/>
          <w:color w:val="C46F3C"/>
          <w:sz w:val="28"/>
        </w:rPr>
        <w:t xml:space="preserve">14  </w:t>
      </w:r>
      <w:r>
        <w:rPr>
          <w:rFonts w:ascii="Inter" w:hAnsi="Inter" w:eastAsia="Inter"/>
          <w:b/>
          <w:i w:val="0"/>
          <w:color w:val="24483B"/>
          <w:sz w:val="28"/>
        </w:rPr>
        <w:t>COMMON PROPERTY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Consistent with Declaration §9.J, nothing may be stored, parked, kept, or left on the Common Property without the Board's express written consent, and the Common Property may not be obstructed.</w:t>
      </w:r>
    </w:p>
    <w:p>
      <w:pPr>
        <w:spacing w:before="260" w:after="100"/>
        <w:pBdr>
          <w:bottom w:val="single" w:sz="5" w:space="4" w:color="E6E1D8"/>
        </w:pBdr>
      </w:pPr>
      <w:r>
        <w:rPr>
          <w:rFonts w:ascii="Inter" w:hAnsi="Inter" w:eastAsia="Inter"/>
          <w:b/>
          <w:i w:val="0"/>
          <w:color w:val="C46F3C"/>
          <w:sz w:val="28"/>
        </w:rPr>
        <w:t xml:space="preserve">15  </w:t>
      </w:r>
      <w:r>
        <w:rPr>
          <w:rFonts w:ascii="Inter" w:hAnsi="Inter" w:eastAsia="Inter"/>
          <w:b/>
          <w:i w:val="0"/>
          <w:color w:val="24483B"/>
          <w:sz w:val="28"/>
        </w:rPr>
        <w:t>FIREARMS AND HUNTING</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Consistent with Declaration §9.L, the display or discharge of firearms (including BB and pellet guns) and the use of paintball guns on the Common Property is prohibited, except by law enforcement officers or for lawful transport of firearms across the Common Property to or from a Parcel. Hunting of any kind is prohibited throughout the Community.</w:t>
      </w:r>
    </w:p>
    <w:p>
      <w:pPr>
        <w:spacing w:before="260" w:after="100"/>
        <w:pBdr>
          <w:bottom w:val="single" w:sz="5" w:space="4" w:color="E6E1D8"/>
        </w:pBdr>
      </w:pPr>
      <w:r>
        <w:rPr>
          <w:rFonts w:ascii="Inter" w:hAnsi="Inter" w:eastAsia="Inter"/>
          <w:b/>
          <w:i w:val="0"/>
          <w:color w:val="C46F3C"/>
          <w:sz w:val="28"/>
        </w:rPr>
        <w:t xml:space="preserve">16  </w:t>
      </w:r>
      <w:r>
        <w:rPr>
          <w:rFonts w:ascii="Inter" w:hAnsi="Inter" w:eastAsia="Inter"/>
          <w:b/>
          <w:i w:val="0"/>
          <w:color w:val="24483B"/>
          <w:sz w:val="28"/>
        </w:rPr>
        <w:t>NUMBER OF OCCUPANTS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Consistent with Declaration §9.H, no more than two occupants per bedroom (as depicted on the governmentally approved plans for the Living Unit) are permitted, subject to any variance required under the Fair Housing Amendments Act of 1988.</w:t>
      </w:r>
    </w:p>
    <w:p>
      <w:pPr>
        <w:spacing w:before="260" w:after="100"/>
        <w:pBdr>
          <w:bottom w:val="single" w:sz="5" w:space="4" w:color="E6E1D8"/>
        </w:pBdr>
      </w:pPr>
      <w:r>
        <w:rPr>
          <w:rFonts w:ascii="Inter" w:hAnsi="Inter" w:eastAsia="Inter"/>
          <w:b/>
          <w:i w:val="0"/>
          <w:color w:val="C46F3C"/>
          <w:sz w:val="28"/>
        </w:rPr>
        <w:t xml:space="preserve">17  </w:t>
      </w:r>
      <w:r>
        <w:rPr>
          <w:rFonts w:ascii="Inter" w:hAnsi="Inter" w:eastAsia="Inter"/>
          <w:b/>
          <w:i w:val="0"/>
          <w:color w:val="24483B"/>
          <w:sz w:val="28"/>
        </w:rPr>
        <w:t>TEMPORARY STRUCTURES AND YARD SALES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No trailer, temporary building, or building under construction may be used as a residence, except as approved temporary living or security quarters under DRC-approved plans.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Yard sales, garage sales, and similar activity are permitted subject to any reasonable conditions the Board imposes by rule, including frequency and duration limits.</w:t>
      </w:r>
    </w:p>
    <w:p>
      <w:pPr>
        <w:spacing w:before="260" w:after="100"/>
        <w:pBdr>
          <w:bottom w:val="single" w:sz="5" w:space="4" w:color="E6E1D8"/>
        </w:pBdr>
      </w:pPr>
      <w:r>
        <w:rPr>
          <w:rFonts w:ascii="Inter" w:hAnsi="Inter" w:eastAsia="Inter"/>
          <w:b/>
          <w:i w:val="0"/>
          <w:color w:val="C46F3C"/>
          <w:sz w:val="28"/>
        </w:rPr>
        <w:t xml:space="preserve">18  </w:t>
      </w:r>
      <w:r>
        <w:rPr>
          <w:rFonts w:ascii="Inter" w:hAnsi="Inter" w:eastAsia="Inter"/>
          <w:b/>
          <w:i w:val="0"/>
          <w:color w:val="24483B"/>
          <w:sz w:val="28"/>
        </w:rPr>
        <w:t>RELATIONSHIP TO OTHER ASSOCIATION LEGAL DOCUMENTS</w:t>
      </w:r>
    </w:p>
    <w:p>
      <w:pPr>
        <w:spacing w:after="100" w:line="259" w:lineRule="auto"/>
        <w:jc w:val="both"/>
      </w:pPr>
      <w:r>
        <w:rPr>
          <w:rFonts w:ascii="Inter" w:hAnsi="Inter" w:eastAsia="Inter"/>
          <w:b w:val="0"/>
          <w:i w:val="0"/>
          <w:color w:val="292B29"/>
          <w:sz w:val="24"/>
        </w:rPr>
        <w:t>These Standards implement the Community-Wide Standard together with the Landscape Maintenance and Design Standards, and are enforced through the Association's Compliance and Violation Enforcement Policy (Courtesy Notice, Second Notice, and Fine Notice) and Fine Schedule Resolution. As provided in Declaration §7.D, application of these Standards may vary with circumstances without waiving the Board's right to enforce them, and no individual decision or interpretation shall constitute binding precedent for future decisions.</w:t>
      </w:r>
    </w:p>
    <w:p>
      <w:pPr>
        <w:spacing w:before="260" w:after="100"/>
        <w:pBdr>
          <w:bottom w:val="single" w:sz="5" w:space="4" w:color="E6E1D8"/>
        </w:pBdr>
      </w:pPr>
      <w:r>
        <w:rPr>
          <w:rFonts w:ascii="Inter" w:hAnsi="Inter" w:eastAsia="Inter"/>
          <w:b/>
          <w:i w:val="0"/>
          <w:color w:val="C46F3C"/>
          <w:sz w:val="28"/>
        </w:rPr>
        <w:t xml:space="preserve">19  </w:t>
      </w:r>
      <w:r>
        <w:rPr>
          <w:rFonts w:ascii="Inter" w:hAnsi="Inter" w:eastAsia="Inter"/>
          <w:b/>
          <w:i w:val="0"/>
          <w:color w:val="24483B"/>
          <w:sz w:val="28"/>
        </w:rPr>
        <w:t>AMENDMENT</w:t>
      </w:r>
    </w:p>
    <w:p>
      <w:pPr>
        <w:spacing w:after="100" w:line="259" w:lineRule="auto"/>
        <w:jc w:val="both"/>
      </w:pPr>
      <w:r>
        <w:rPr>
          <w:rFonts w:ascii="Inter" w:hAnsi="Inter"/>
          <w:b w:val="0"/>
          <w:i w:val="0"/>
          <w:color w:val="292B29"/>
          <w:sz w:val="24"/>
        </w:rPr>
        <w:t>The Board may amend these Standards by lawful Board action to the extent authorized by the governing documents and applicable law. Nothing in these Standards limits any Member voting or amendment rights provided by the Declaration, including rights applicable to Community-Wide Standards under Declaration §8.C.</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