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Landscape Maintenance &amp; Design Standards</w:t>
      </w:r>
    </w:p>
    <w:p>
      <w:pPr>
        <w:spacing w:after="60"/>
        <w:jc w:val="both"/>
      </w:pPr>
      <w:r>
        <w:rPr>
          <w:rFonts w:ascii="Inter" w:hAnsi="Inter" w:eastAsia="Inter"/>
          <w:b w:val="0"/>
          <w:i w:val="0"/>
          <w:color w:val="7A5943"/>
          <w:sz w:val="24"/>
        </w:rPr>
        <w:t>Community Standards  •  Draft for Board Review</w:t>
      </w:r>
    </w:p>
    <w:p>
      <w:pPr>
        <w:spacing w:after="180"/>
        <w:pBdr>
          <w:bottom w:val="single" w:sz="6" w:space="4" w:color="E6E1D8"/>
        </w:pBdr>
        <w:jc w:val="both"/>
      </w:pPr>
      <w:r>
        <w:rPr>
          <w:rFonts w:ascii="Inter" w:hAnsi="Inter"/>
          <w:b w:val="0"/>
          <w:i w:val="0"/>
          <w:color w:val="4E514D"/>
          <w:sz w:val="24"/>
        </w:rPr>
        <w:t>Landscape maintenance and design standards implementing the Community-Wide Standard for turf, shrubs, trees, weeds, and planting beds.</w:t>
      </w:r>
    </w:p>
    <w:p>
      <w:pPr>
        <w:spacing w:before="260" w:after="100"/>
        <w:pBdr>
          <w:bottom w:val="single" w:sz="5" w:space="4" w:color="E6E1D8"/>
        </w:pBdr>
      </w:pPr>
      <w:r>
        <w:rPr>
          <w:rFonts w:ascii="Inter" w:hAnsi="Inter" w:eastAsia="Inter"/>
          <w:b/>
          <w:i w:val="0"/>
          <w:color w:val="24483B"/>
          <w:sz w:val="28"/>
        </w:rPr>
        <w:t>RESOLUTION OF THE BOARD OF DIRECTORS – LANDSCAPE MAINTENANCE &amp; DESIGN STANDARDS</w:t>
      </w:r>
    </w:p>
    <w:p>
      <w:pPr>
        <w:spacing w:after="100" w:line="259" w:lineRule="auto"/>
        <w:jc w:val="both"/>
      </w:pPr>
      <w:r>
        <w:rPr>
          <w:rFonts w:ascii="Inter" w:hAnsi="Inter" w:eastAsia="Inter"/>
          <w:b w:val="0"/>
          <w:i w:val="0"/>
          <w:color w:val="292B29"/>
          <w:sz w:val="24"/>
        </w:rPr>
        <w:t>WHEREAS, Article 3.C.1(d) and (e) of the Bylaws authorize the Board of Directors to make, amend, and enforce reasonable rules and regulations governing the Community and to enforce the Association Legal Documents by legal means; and</w:t>
      </w:r>
    </w:p>
    <w:p>
      <w:pPr>
        <w:spacing w:after="100" w:line="259" w:lineRule="auto"/>
        <w:jc w:val="both"/>
      </w:pPr>
      <w:r>
        <w:rPr>
          <w:rFonts w:ascii="Inter" w:hAnsi="Inter" w:eastAsia="Inter"/>
          <w:b w:val="0"/>
          <w:i w:val="0"/>
          <w:color w:val="292B29"/>
          <w:sz w:val="24"/>
        </w:rPr>
        <w:t>WHEREAS, Paragraph 7.A of the Declaration obligates each Owner to maintain, among other things, trees, shrubs, mowed grass, weeded lawns and planting beds, edged lawn areas, and mulched planting areas on the Owner's Parcel, consistent with the Community-Wide Standard; and</w:t>
      </w:r>
    </w:p>
    <w:p>
      <w:pPr>
        <w:spacing w:after="100" w:line="259" w:lineRule="auto"/>
        <w:jc w:val="both"/>
      </w:pPr>
      <w:r>
        <w:rPr>
          <w:rFonts w:ascii="Inter" w:hAnsi="Inter" w:eastAsia="Inter"/>
          <w:b w:val="0"/>
          <w:i w:val="0"/>
          <w:color w:val="292B29"/>
          <w:sz w:val="24"/>
        </w:rPr>
        <w:t>WHEREAS, Paragraph 7.D of the Declaration authorizes the Board to establish, interpret, and enforce maintenance standards for the Community, and provides that such standards may vary over time without waiving the Board's right to establish and enforce them; and</w:t>
      </w:r>
    </w:p>
    <w:p>
      <w:pPr>
        <w:spacing w:after="100" w:line="259" w:lineRule="auto"/>
        <w:jc w:val="both"/>
      </w:pPr>
      <w:r>
        <w:rPr>
          <w:rFonts w:ascii="Inter" w:hAnsi="Inter" w:eastAsia="Inter"/>
          <w:b w:val="0"/>
          <w:i w:val="0"/>
          <w:color w:val="292B29"/>
          <w:sz w:val="24"/>
        </w:rPr>
        <w:t>WHEREAS, Paragraph 9.C of the Declaration requires DRC approval before removal of any tree six inches or more in diameter, and Paragraph 9.Q of the Declaration prohibits unsightly or unkempt conditions in the Community; and</w:t>
      </w:r>
    </w:p>
    <w:p>
      <w:pPr>
        <w:spacing w:after="100" w:line="259" w:lineRule="auto"/>
        <w:jc w:val="both"/>
      </w:pPr>
      <w:r>
        <w:rPr>
          <w:rFonts w:ascii="Inter" w:hAnsi="Inter" w:eastAsia="Inter"/>
          <w:b w:val="0"/>
          <w:i w:val="0"/>
          <w:color w:val="292B29"/>
          <w:sz w:val="24"/>
        </w:rPr>
        <w:t>WHEREAS, the Board desires to adopt specific, objective landscape maintenance and design standards so that Paragraph 7.A's maintenance obligations, and the Community-Wide Standard referenced throughout the Declaration, are defined, consistent, and enforceable under the Association's Compliance and Violation Enforcement Policy;</w:t>
      </w:r>
    </w:p>
    <w:p>
      <w:pPr>
        <w:spacing w:after="100" w:line="259" w:lineRule="auto"/>
        <w:jc w:val="both"/>
      </w:pPr>
      <w:r>
        <w:rPr>
          <w:rFonts w:ascii="Inter" w:hAnsi="Inter" w:eastAsia="Inter"/>
          <w:b w:val="0"/>
          <w:i w:val="0"/>
          <w:color w:val="292B29"/>
          <w:sz w:val="24"/>
        </w:rPr>
        <w:t>NOW, THEREFORE, BE IT RESOLVED, that the Board of Directors hereby adopts the attached Landscape Maintenance and Design Standards, effective as of the date of adoption below, as the Community-Wide Standard governing turf, shrub, tree, weed, and bed maintenance on all Parcels.</w:t>
      </w:r>
    </w:p>
    <w:p>
      <w:pPr>
        <w:spacing w:after="100" w:line="259" w:lineRule="auto"/>
        <w:jc w:val="both"/>
      </w:pPr>
      <w:r>
        <w:rPr>
          <w:rFonts w:ascii="Inter" w:hAnsi="Inter" w:eastAsia="Inter"/>
          <w:b w:val="0"/>
          <w:i w:val="0"/>
          <w:color w:val="292B29"/>
          <w:sz w:val="24"/>
        </w:rPr>
        <w:t>BE IT FURTHER RESOLVED, that this resolution and the attached Standards shall be maintained with the official records of the Association, and enforced through the Association's Compliance and Violation Enforcement Policy and Fine Schedule Resolution.</w:t>
      </w:r>
    </w:p>
    <w:p>
      <w:pPr>
        <w:spacing w:after="100" w:line="259" w:lineRule="auto"/>
        <w:jc w:val="both"/>
      </w:pPr>
      <w:r>
        <w:rPr>
          <w:rFonts w:ascii="Inter" w:hAnsi="Inter" w:eastAsia="Inter"/>
          <w:b w:val="0"/>
          <w:i w:val="0"/>
          <w:color w:val="292B29"/>
          <w:sz w:val="24"/>
        </w:rPr>
        <w:t>BE IT FURTHER RESOLVED, that the Board may adopt and amend these Standards by Board action without homeowner approval; provided, however, that to the extent a provision constitutes a Community-Wide Standard for modifications affecting the exterior appearance of Parcels under Declaration §8.C, a majority of the total Association vote retains the separate authority provided by the Declaration to amend or veto that standard.</w:t>
      </w:r>
    </w:p>
    <w:p>
      <w:pPr>
        <w:spacing w:after="100" w:line="259" w:lineRule="auto"/>
        <w:jc w:val="both"/>
      </w:pPr>
      <w:r>
        <w:rPr>
          <w:rFonts w:ascii="Inter" w:hAnsi="Inter" w:eastAsia="Inter"/>
          <w:b w:val="0"/>
          <w:i w:val="0"/>
          <w:color w:val="292B29"/>
          <w:sz w:val="24"/>
        </w:rPr>
        <w:t>Adopted by the Board of Directors this ____ day of ____________, 20____.</w:t>
      </w:r>
    </w:p>
    <w:p>
      <w:pPr>
        <w:spacing w:after="100" w:line="259" w:lineRule="auto"/>
        <w:jc w:val="both"/>
      </w:pPr>
      <w:r>
        <w:rPr>
          <w:rFonts w:ascii="Inter" w:hAnsi="Inter" w:eastAsia="Inter"/>
          <w:b w:val="0"/>
          <w:i w:val="0"/>
          <w:color w:val="292B29"/>
          <w:sz w:val="24"/>
        </w:rPr>
        <w:t>_______________________________     President</w:t>
      </w:r>
    </w:p>
    <w:p>
      <w:pPr>
        <w:spacing w:after="100" w:line="259" w:lineRule="auto"/>
        <w:jc w:val="both"/>
      </w:pPr>
      <w:r>
        <w:rPr>
          <w:rFonts w:ascii="Inter" w:hAnsi="Inter" w:eastAsia="Inter"/>
          <w:b w:val="0"/>
          <w:i w:val="0"/>
          <w:color w:val="292B29"/>
          <w:sz w:val="24"/>
        </w:rPr>
        <w:t>_______________________________     Secretary (Attest)</w:t>
      </w:r>
    </w:p>
    <w:p>
      <w:pPr>
        <w:spacing w:before="260" w:after="100"/>
        <w:pBdr>
          <w:bottom w:val="single" w:sz="5" w:space="4" w:color="E6E1D8"/>
        </w:pBdr>
      </w:pPr>
      <w:r>
        <w:rPr>
          <w:rFonts w:ascii="Inter" w:hAnsi="Inter" w:eastAsia="Inter"/>
          <w:b/>
          <w:i w:val="0"/>
          <w:color w:val="C46F3C"/>
          <w:sz w:val="28"/>
        </w:rPr>
        <w:t xml:space="preserve">01  </w:t>
      </w:r>
      <w:r>
        <w:rPr>
          <w:rFonts w:ascii="Inter" w:hAnsi="Inter" w:eastAsia="Inter"/>
          <w:b/>
          <w:i w:val="0"/>
          <w:color w:val="24483B"/>
          <w:sz w:val="28"/>
        </w:rPr>
        <w:t>PURPOSE AND AUTHORITY</w:t>
      </w:r>
    </w:p>
    <w:p>
      <w:pPr>
        <w:spacing w:after="100" w:line="259" w:lineRule="auto"/>
        <w:jc w:val="both"/>
      </w:pPr>
      <w:r>
        <w:rPr>
          <w:rFonts w:ascii="Inter" w:hAnsi="Inter" w:eastAsia="Inter"/>
          <w:b w:val="0"/>
          <w:i w:val="0"/>
          <w:color w:val="292B29"/>
          <w:sz w:val="24"/>
        </w:rPr>
        <w:t>These Standards define the Community-Wide Standard for landscape maintenance referenced in Declaration §7.A (Owner's Responsibility) and §7.D (Maintenance Standards and Interpretation), and, where noted, the standards for exterior appearance under Declaration §8.C. They apply to every Parcel and are enforced through the Association's Compliance and Violation Enforcement Policy and Fine Schedule Resolution. The Board may grant reasonable written variances for demonstrated hardship (for example, a newly sodded area still within its establishment period, or temporary local watering restrictions).</w:t>
      </w:r>
    </w:p>
    <w:p>
      <w:pPr>
        <w:spacing w:before="260" w:after="100"/>
        <w:pBdr>
          <w:bottom w:val="single" w:sz="5" w:space="4" w:color="E6E1D8"/>
        </w:pBdr>
      </w:pPr>
      <w:r>
        <w:rPr>
          <w:rFonts w:ascii="Inter" w:hAnsi="Inter" w:eastAsia="Inter"/>
          <w:b/>
          <w:i w:val="0"/>
          <w:color w:val="C46F3C"/>
          <w:sz w:val="28"/>
        </w:rPr>
        <w:t xml:space="preserve">02  </w:t>
      </w:r>
      <w:r>
        <w:rPr>
          <w:rFonts w:ascii="Inter" w:hAnsi="Inter" w:eastAsia="Inter"/>
          <w:b/>
          <w:i w:val="0"/>
          <w:color w:val="24483B"/>
          <w:sz w:val="28"/>
        </w:rPr>
        <w:t>QUICK REFERENCE</w:t>
      </w:r>
    </w:p>
    <w:p>
      <w:pPr>
        <w:spacing w:after="100" w:line="259" w:lineRule="auto"/>
        <w:jc w:val="both"/>
      </w:pPr>
      <w:r>
        <w:rPr>
          <w:rFonts w:ascii="Inter" w:hAnsi="Inter" w:eastAsia="Inter"/>
          <w:b w:val="0"/>
          <w:i w:val="0"/>
          <w:color w:val="292B29"/>
          <w:sz w:val="24"/>
        </w:rPr>
        <w:t>The table below summarizes the standards described in detail in Sections 3–7. In the event of any conflict, the detailed section governs.</w:t>
      </w:r>
    </w:p>
    <w:tbl>
      <w:tblPr>
        <w:tblW w:type="auto" w:w="0"/>
        <w:jc w:val="center"/>
        <w:tblLayout w:type="autofit"/>
        <w:tblLook w:firstColumn="1" w:firstRow="1" w:lastColumn="0" w:lastRow="0" w:noHBand="0" w:noVBand="1" w:val="04A0"/>
        <w:tblBorders>
          <w:top w:val="single" w:sz="6" w:space="0" w:color="D8D1C5"/>
          <w:left w:val="single" w:sz="6" w:space="0" w:color="D8D1C5"/>
          <w:bottom w:val="single" w:sz="6" w:space="0" w:color="D8D1C5"/>
          <w:right w:val="single" w:sz="6" w:space="0" w:color="D8D1C5"/>
          <w:insideH w:val="single" w:sz="6" w:space="0" w:color="D8D1C5"/>
          <w:insideV w:val="single" w:sz="6" w:space="0" w:color="D8D1C5"/>
        </w:tblBorders>
      </w:tblPr>
      <w:tblGrid>
        <w:gridCol w:w="4968"/>
        <w:gridCol w:w="4968"/>
      </w:tblGrid>
      <w:tr>
        <w:trPr>
          <w:tblHeader w:val="true"/>
        </w:trPr>
        <w:tc>
          <w:tcPr>
            <w:tcW w:type="dxa" w:w="4968"/>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ITEM</w:t>
            </w:r>
          </w:p>
        </w:tc>
        <w:tc>
          <w:tcPr>
            <w:tcW w:type="dxa" w:w="4968"/>
            <w:shd w:fill="24483B"/>
            <w:tcMar>
              <w:top w:w="100" w:type="dxa"/>
              <w:start w:w="120" w:type="dxa"/>
              <w:bottom w:w="100" w:type="dxa"/>
              <w:end w:w="120" w:type="dxa"/>
            </w:tcMar>
            <w:tcBorders>
              <w:top w:val="single" w:sz="3" w:color="24483B"/>
              <w:left w:val="single" w:sz="3" w:color="24483B"/>
              <w:bottom w:val="single" w:sz="3" w:color="24483B"/>
              <w:right w:val="single" w:sz="3" w:color="24483B"/>
            </w:tcBorders>
          </w:tcPr>
          <w:p>
            <w:pPr>
              <w:spacing w:after="40" w:line="240" w:lineRule="auto"/>
            </w:pPr>
            <w:r>
              <w:rPr>
                <w:rFonts w:ascii="Inter" w:hAnsi="Inter" w:eastAsia="Inter"/>
                <w:b/>
                <w:i w:val="0"/>
                <w:color w:val="FFFFFF"/>
                <w:sz w:val="24"/>
              </w:rPr>
              <w:t>STANDARD</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Mowing – growing season</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Mow as seasonally necessary to prevent an overgrown or neglected appearance.</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Mowing – dormant season</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Mow or trim when growth or weeds materially affect the maintained appearance.</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Weeds – turf areas</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Maintain turf so weeds, dead turf, and bare areas do not create a materially neglected appearance.</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Weeds – bed areas</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Control weeds and volunteer growth so planting beds remain maintained.</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Foundation shrub height</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Maintain shrubs so they do not materially obstruct windows, doors, vents, utility equipment, or access.</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Non-foundation shrub height</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Prune shrubs and hedges to maintain intended form and prevent material encroachment or overgrowth.</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Tree canopy clearance</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Maintain trees to address dead, hazardous, or materially obstructive limbs; use generally accepted pruning practices.</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Bare earth / shade areas (turf)</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Restore significant or persistent bare soil or convert it to an appropriate maintained landscape treatment.</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Planting bed coverage</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Maintain planting beds with appropriate ground-cover material or plantings so they present a finished appearance.</w:t>
            </w:r>
          </w:p>
        </w:tc>
      </w:tr>
      <w:tr>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Ground cover depth</w:t>
            </w:r>
          </w:p>
        </w:tc>
        <w:tc>
          <w:tcPr>
            <w:tcW w:type="dxa" w:w="4968"/>
            <w:tcMar>
              <w:top w:w="100" w:type="dxa"/>
              <w:start w:w="120" w:type="dxa"/>
              <w:bottom w:w="100" w:type="dxa"/>
              <w:end w:w="120" w:type="dxa"/>
            </w:tcMar>
            <w:tcBorders>
              <w:top w:val="single" w:sz="3" w:color="E6E1D8"/>
              <w:left w:val="single" w:sz="3" w:color="E6E1D8"/>
              <w:bottom w:val="single" w:sz="3" w:color="E6E1D8"/>
              <w:right w:val="single" w:sz="3" w:color="E6E1D8"/>
            </w:tcBorders>
          </w:tcPr>
          <w:p>
            <w:pPr>
              <w:jc w:val="both"/>
            </w:pPr>
            <w:r>
              <w:rPr>
                <w:sz w:val="24"/>
              </w:rPr>
              <w:t>Maintain sufficient material for reasonable soil coverage, weed control, and a maintained appearance.</w:t>
            </w:r>
          </w:p>
        </w:tc>
      </w:tr>
    </w:tbl>
    <w:p>
      <w:pPr>
        <w:spacing w:after="20"/>
      </w:pPr>
    </w:p>
    <w:p>
      <w:pPr>
        <w:spacing w:before="260" w:after="100"/>
        <w:pBdr>
          <w:bottom w:val="single" w:sz="5" w:space="4" w:color="E6E1D8"/>
        </w:pBdr>
      </w:pPr>
      <w:r>
        <w:rPr>
          <w:rFonts w:ascii="Inter" w:hAnsi="Inter" w:eastAsia="Inter"/>
          <w:b/>
          <w:i w:val="0"/>
          <w:color w:val="C46F3C"/>
          <w:sz w:val="28"/>
        </w:rPr>
        <w:t xml:space="preserve">03  </w:t>
      </w:r>
      <w:r>
        <w:rPr>
          <w:rFonts w:ascii="Inter" w:hAnsi="Inter" w:eastAsia="Inter"/>
          <w:b/>
          <w:i w:val="0"/>
          <w:color w:val="24483B"/>
          <w:sz w:val="28"/>
        </w:rPr>
        <w:t>TURF AND LAWN MAINTENANCE</w:t>
      </w:r>
    </w:p>
    <w:p>
      <w:pPr>
        <w:spacing w:after="100" w:line="259" w:lineRule="auto"/>
        <w:jc w:val="both"/>
      </w:pPr>
      <w:r>
        <w:rPr>
          <w:rFonts w:ascii="Inter" w:hAnsi="Inter"/>
          <w:b w:val="0"/>
          <w:i w:val="0"/>
          <w:color w:val="292B29"/>
          <w:sz w:val="24"/>
        </w:rPr>
        <w:t>Grass on each Parcel shall be maintained regularly enough to present a neat, orderly, and reasonably uniform appearance consistent with the Community-Wide Standard.</w:t>
      </w:r>
    </w:p>
    <w:p>
      <w:pPr>
        <w:spacing w:after="100" w:line="259" w:lineRule="auto"/>
        <w:ind w:left="317" w:hanging="202"/>
        <w:jc w:val="both"/>
      </w:pPr>
      <w:r>
        <w:rPr>
          <w:rFonts w:ascii="Inter" w:hAnsi="Inter"/>
          <w:b/>
          <w:i w:val="0"/>
          <w:color w:val="C46F3C"/>
          <w:sz w:val="24"/>
        </w:rPr>
        <w:t>•  Turf shall be mowed as seasonally necessary to prevent an overgrown or neglected appearance.</w:t>
      </w:r>
    </w:p>
    <w:p>
      <w:pPr>
        <w:spacing w:after="100" w:line="259" w:lineRule="auto"/>
        <w:ind w:left="317" w:hanging="202"/>
        <w:jc w:val="both"/>
      </w:pPr>
      <w:r>
        <w:rPr>
          <w:rFonts w:ascii="Inter" w:hAnsi="Inter"/>
          <w:b/>
          <w:i w:val="0"/>
          <w:color w:val="C46F3C"/>
          <w:sz w:val="24"/>
        </w:rPr>
        <w:t>•  During dormant periods, mowing or trimming shall be performed when growth or weeds materially affect the maintained appearance of the Parcel.</w:t>
      </w:r>
    </w:p>
    <w:p>
      <w:pPr>
        <w:spacing w:after="100" w:line="259" w:lineRule="auto"/>
        <w:ind w:left="317" w:hanging="202"/>
        <w:jc w:val="both"/>
      </w:pPr>
      <w:r>
        <w:rPr>
          <w:rFonts w:ascii="Inter" w:hAnsi="Inter"/>
          <w:b/>
          <w:i w:val="0"/>
          <w:color w:val="C46F3C"/>
          <w:sz w:val="24"/>
        </w:rPr>
        <w:t>•  Turf edges along driveways, walkways, curbs, and planting beds shall be maintained to prevent material encroachment onto hard surfaces or planting beds.</w:t>
      </w:r>
    </w:p>
    <w:p>
      <w:pPr>
        <w:spacing w:after="100" w:line="259" w:lineRule="auto"/>
        <w:ind w:left="317" w:hanging="202"/>
        <w:jc w:val="both"/>
      </w:pPr>
      <w:r>
        <w:rPr>
          <w:rFonts w:ascii="Inter" w:hAnsi="Inter"/>
          <w:b/>
          <w:i w:val="0"/>
          <w:color w:val="C46F3C"/>
          <w:sz w:val="24"/>
        </w:rPr>
        <w:t>•  Grass clippings and yard debris shall not be left in visible accumulations that create an unkempt condition.</w:t>
      </w:r>
    </w:p>
    <w:p>
      <w:pPr>
        <w:spacing w:before="260" w:after="100"/>
        <w:pBdr>
          <w:bottom w:val="single" w:sz="5" w:space="4" w:color="E6E1D8"/>
        </w:pBdr>
      </w:pPr>
      <w:r>
        <w:rPr>
          <w:rFonts w:ascii="Inter" w:hAnsi="Inter" w:eastAsia="Inter"/>
          <w:b/>
          <w:i w:val="0"/>
          <w:color w:val="C46F3C"/>
          <w:sz w:val="28"/>
        </w:rPr>
        <w:t xml:space="preserve">04  </w:t>
      </w:r>
      <w:r>
        <w:rPr>
          <w:rFonts w:ascii="Inter" w:hAnsi="Inter" w:eastAsia="Inter"/>
          <w:b/>
          <w:i w:val="0"/>
          <w:color w:val="24483B"/>
          <w:sz w:val="28"/>
        </w:rPr>
        <w:t>WEED CONTROL</w:t>
      </w:r>
    </w:p>
    <w:p>
      <w:pPr>
        <w:spacing w:after="100" w:line="259" w:lineRule="auto"/>
        <w:jc w:val="both"/>
      </w:pPr>
      <w:r>
        <w:rPr>
          <w:rFonts w:ascii="Inter" w:hAnsi="Inter"/>
          <w:b w:val="0"/>
          <w:i w:val="0"/>
          <w:color w:val="292B29"/>
          <w:sz w:val="24"/>
        </w:rPr>
        <w:t>Weeds include undesired or unmanaged vegetation that materially detracts from the maintained appearance of turf or planting beds, including invasive vegetation and volunteer growth not intended as landscaping.</w:t>
      </w:r>
    </w:p>
    <w:p>
      <w:pPr>
        <w:spacing w:after="100" w:line="259" w:lineRule="auto"/>
        <w:ind w:left="317" w:hanging="202"/>
        <w:jc w:val="both"/>
      </w:pPr>
      <w:r>
        <w:rPr>
          <w:rFonts w:ascii="Inter" w:hAnsi="Inter"/>
          <w:b/>
          <w:i w:val="0"/>
          <w:color w:val="C46F3C"/>
          <w:sz w:val="24"/>
        </w:rPr>
        <w:t>•  Turf areas shall be reasonably maintained so that weeds, dead turf, and bare areas do not create a materially neglected or unmaintained appearance.</w:t>
      </w:r>
    </w:p>
    <w:p>
      <w:pPr>
        <w:spacing w:after="100" w:line="259" w:lineRule="auto"/>
        <w:ind w:left="317" w:hanging="202"/>
        <w:jc w:val="both"/>
      </w:pPr>
      <w:r>
        <w:rPr>
          <w:rFonts w:ascii="Inter" w:hAnsi="Inter"/>
          <w:b/>
          <w:i w:val="0"/>
          <w:color w:val="C46F3C"/>
          <w:sz w:val="24"/>
        </w:rPr>
        <w:t>•  Planting beds shall be maintained to control weeds and volunteer growth.</w:t>
      </w:r>
    </w:p>
    <w:p>
      <w:pPr>
        <w:spacing w:after="100" w:line="259" w:lineRule="auto"/>
        <w:ind w:left="317" w:hanging="202"/>
        <w:jc w:val="both"/>
      </w:pPr>
      <w:r>
        <w:rPr>
          <w:rFonts w:ascii="Inter" w:hAnsi="Inter"/>
          <w:b/>
          <w:i w:val="0"/>
          <w:color w:val="C46F3C"/>
          <w:sz w:val="24"/>
        </w:rPr>
        <w:t>•  Noxious or invasive vegetation and growth that obstructs walkways, drainage, structures, or sight lines shall be controlled promptly.</w:t>
      </w:r>
    </w:p>
    <w:p>
      <w:pPr>
        <w:spacing w:before="260" w:after="100"/>
        <w:pBdr>
          <w:bottom w:val="single" w:sz="5" w:space="4" w:color="E6E1D8"/>
        </w:pBdr>
      </w:pPr>
      <w:r>
        <w:rPr>
          <w:rFonts w:ascii="Inter" w:hAnsi="Inter" w:eastAsia="Inter"/>
          <w:b/>
          <w:i w:val="0"/>
          <w:color w:val="C46F3C"/>
          <w:sz w:val="28"/>
        </w:rPr>
        <w:t xml:space="preserve">05  </w:t>
      </w:r>
      <w:r>
        <w:rPr>
          <w:rFonts w:ascii="Inter" w:hAnsi="Inter" w:eastAsia="Inter"/>
          <w:b/>
          <w:i w:val="0"/>
          <w:color w:val="24483B"/>
          <w:sz w:val="28"/>
        </w:rPr>
        <w:t>SHRUB AND HEDGE MAINTENANCE</w:t>
      </w:r>
    </w:p>
    <w:p>
      <w:pPr>
        <w:spacing w:after="100" w:line="259" w:lineRule="auto"/>
        <w:ind w:left="317" w:hanging="202"/>
        <w:jc w:val="both"/>
      </w:pPr>
      <w:r>
        <w:rPr>
          <w:rFonts w:ascii="Inter" w:hAnsi="Inter"/>
          <w:b/>
          <w:i w:val="0"/>
          <w:color w:val="C46F3C"/>
          <w:sz w:val="24"/>
        </w:rPr>
        <w:t>•  Foundation shrubs shall be maintained so they do not materially obstruct windows, doors, vents, utility equipment, or normal access and so they present a maintained appearance.</w:t>
      </w:r>
    </w:p>
    <w:p>
      <w:pPr>
        <w:spacing w:after="100" w:line="259" w:lineRule="auto"/>
        <w:ind w:left="317" w:hanging="202"/>
        <w:jc w:val="both"/>
      </w:pPr>
      <w:r>
        <w:rPr>
          <w:rFonts w:ascii="Inter" w:hAnsi="Inter"/>
          <w:b/>
          <w:i w:val="0"/>
          <w:color w:val="C46F3C"/>
          <w:sz w:val="24"/>
        </w:rPr>
        <w:t>•  Other shrubs and hedges shall be pruned as reasonably necessary to maintain their intended form, prevent encroachment, and avoid an overgrown or tree-like condition inconsistent with the approved landscape design.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Shrubs and hedges near street intersections or driveway aprons shall be maintained consistent with the sight-distance requirements of Declaration §9.U.</w:t>
      </w:r>
    </w:p>
    <w:p>
      <w:pPr>
        <w:spacing w:after="100" w:line="259" w:lineRule="auto"/>
        <w:ind w:left="317" w:hanging="202"/>
        <w:jc w:val="both"/>
      </w:pPr>
      <w:r>
        <w:rPr>
          <w:rFonts w:ascii="Inter" w:hAnsi="Inter"/>
          <w:b/>
          <w:i w:val="0"/>
          <w:color w:val="C46F3C"/>
          <w:sz w:val="24"/>
        </w:rPr>
        <w:t>•  Dead or materially diseased shrubs visible from the street or an adjoining Parcel shall be removed, replaced, or otherwise addressed within a reasonable period after notice.</w:t>
      </w:r>
    </w:p>
    <w:p>
      <w:pPr>
        <w:spacing w:before="260" w:after="100"/>
        <w:pBdr>
          <w:bottom w:val="single" w:sz="5" w:space="4" w:color="E6E1D8"/>
        </w:pBdr>
      </w:pPr>
      <w:r>
        <w:rPr>
          <w:rFonts w:ascii="Inter" w:hAnsi="Inter" w:eastAsia="Inter"/>
          <w:b/>
          <w:i w:val="0"/>
          <w:color w:val="C46F3C"/>
          <w:sz w:val="28"/>
        </w:rPr>
        <w:t xml:space="preserve">06  </w:t>
      </w:r>
      <w:r>
        <w:rPr>
          <w:rFonts w:ascii="Inter" w:hAnsi="Inter" w:eastAsia="Inter"/>
          <w:b/>
          <w:i w:val="0"/>
          <w:color w:val="24483B"/>
          <w:sz w:val="28"/>
        </w:rPr>
        <w:t>TREE MAINTENANCE</w:t>
      </w:r>
    </w:p>
    <w:p>
      <w:pPr>
        <w:spacing w:after="100" w:line="259" w:lineRule="auto"/>
        <w:ind w:left="317" w:hanging="202"/>
        <w:jc w:val="both"/>
      </w:pPr>
      <w:r>
        <w:rPr>
          <w:rFonts w:ascii="Inter" w:hAnsi="Inter"/>
          <w:b/>
          <w:i w:val="0"/>
          <w:color w:val="C46F3C"/>
          <w:sz w:val="24"/>
        </w:rPr>
        <w:t>•  Trees shall be maintained so that dead, hazardous, or materially obstructive limbs do not create an unsafe or visibly neglected condition. Pruning should preserve the health and natural form of the tree.</w:t>
      </w:r>
    </w:p>
    <w:p>
      <w:pPr>
        <w:spacing w:after="100" w:line="259" w:lineRule="auto"/>
        <w:ind w:left="317" w:hanging="202"/>
        <w:jc w:val="both"/>
      </w:pPr>
      <w:r>
        <w:rPr>
          <w:rFonts w:ascii="Inter" w:hAnsi="Inter"/>
          <w:b/>
          <w:i w:val="0"/>
          <w:color w:val="C46F3C"/>
          <w:sz w:val="24"/>
        </w:rPr>
        <w:t>•  Deadwood, storm-damaged limbs, and hazardous branches shall be addressed within a reasonable period after notice or discovery, with priority given to safety conditions.</w:t>
      </w:r>
    </w:p>
    <w:p>
      <w:pPr>
        <w:spacing w:after="100" w:line="259" w:lineRule="auto"/>
        <w:ind w:left="317" w:hanging="202"/>
        <w:jc w:val="both"/>
      </w:pPr>
      <w:r>
        <w:rPr>
          <w:rFonts w:ascii="Inter" w:hAnsi="Inter"/>
          <w:b/>
          <w:i w:val="0"/>
          <w:color w:val="C46F3C"/>
          <w:sz w:val="24"/>
        </w:rPr>
        <w:t>•  Tree pruning should follow generally accepted arboricultural practices; indiscriminate topping is discouraged except where necessary for safety or utility requirements.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Consistent with Declaration §9.C, no tree six inches or more in diameter (measured two feet above grade) may be removed without prior DRC approval; canopy lifting and routine pruning that does not remove the tree do not require DRC approval.</w:t>
      </w:r>
    </w:p>
    <w:p>
      <w:pPr>
        <w:spacing w:after="100" w:line="259" w:lineRule="auto"/>
        <w:ind w:left="317" w:hanging="202"/>
        <w:jc w:val="both"/>
      </w:pPr>
      <w:r>
        <w:rPr>
          <w:rFonts w:ascii="Inter" w:hAnsi="Inter"/>
          <w:b/>
          <w:i w:val="0"/>
          <w:color w:val="C46F3C"/>
          <w:sz w:val="24"/>
        </w:rPr>
        <w:t>•  Volunteer saplings and self-seeded growth in turf areas, foundation beds, and fence lines shall be managed so they do not create an unmaintained condition or damage structures, fencing, drainage, or established landscaping.</w:t>
      </w:r>
    </w:p>
    <w:p>
      <w:pPr>
        <w:spacing w:before="260" w:after="100"/>
        <w:pBdr>
          <w:bottom w:val="single" w:sz="5" w:space="4" w:color="E6E1D8"/>
        </w:pBdr>
      </w:pPr>
      <w:r>
        <w:rPr>
          <w:rFonts w:ascii="Inter" w:hAnsi="Inter" w:eastAsia="Inter"/>
          <w:b/>
          <w:i w:val="0"/>
          <w:color w:val="C46F3C"/>
          <w:sz w:val="28"/>
        </w:rPr>
        <w:t xml:space="preserve">07  </w:t>
      </w:r>
      <w:r>
        <w:rPr>
          <w:rFonts w:ascii="Inter" w:hAnsi="Inter" w:eastAsia="Inter"/>
          <w:b/>
          <w:i w:val="0"/>
          <w:color w:val="24483B"/>
          <w:sz w:val="28"/>
        </w:rPr>
        <w:t>BARE EARTH, SHADE AREAS, AND PLANTING BEDS</w:t>
      </w:r>
    </w:p>
    <w:p>
      <w:pPr>
        <w:spacing w:before="160" w:after="60"/>
        <w:jc w:val="both"/>
      </w:pPr>
      <w:r>
        <w:rPr>
          <w:rFonts w:ascii="Inter" w:hAnsi="Inter" w:eastAsia="Inter"/>
          <w:b/>
          <w:i w:val="0"/>
          <w:color w:val="7A5943"/>
          <w:sz w:val="24"/>
        </w:rPr>
        <w:t>7.1 Bare or Failed Turf Areas</w:t>
      </w:r>
    </w:p>
    <w:p>
      <w:pPr>
        <w:spacing w:after="100" w:line="259" w:lineRule="auto"/>
        <w:jc w:val="both"/>
      </w:pPr>
      <w:r>
        <w:rPr>
          <w:rFonts w:ascii="Inter" w:hAnsi="Inter"/>
          <w:b w:val="0"/>
          <w:i w:val="0"/>
          <w:color w:val="292B29"/>
          <w:sz w:val="24"/>
        </w:rPr>
        <w:t>Turf areas with significant or persistent bare soil should be restored or converted to an appropriate maintained landscape treatment when reasonably necessary to preserve the Community-Wide Standard. Appropriate methods may include: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Resodding or reseeding with a shade-tolerant turf variety appropriate to the site's sun exposure; or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Expanding an adjacent planting bed to cover the area, edged and covered consistent with Section 7.2 below; or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Another Board- or DRC-approved ground cover solution (for example, shade-tolerant groundcover plantings).</w:t>
      </w:r>
    </w:p>
    <w:p>
      <w:pPr>
        <w:spacing w:before="160" w:after="60"/>
        <w:jc w:val="both"/>
      </w:pPr>
      <w:r>
        <w:rPr>
          <w:rFonts w:ascii="Inter" w:hAnsi="Inter" w:eastAsia="Inter"/>
          <w:b/>
          <w:i w:val="0"/>
          <w:color w:val="7A5943"/>
          <w:sz w:val="24"/>
        </w:rPr>
        <w:t>7.2 Planting Bed Coverage</w:t>
      </w:r>
    </w:p>
    <w:p>
      <w:pPr>
        <w:spacing w:after="100" w:line="259" w:lineRule="auto"/>
        <w:jc w:val="both"/>
      </w:pPr>
      <w:r>
        <w:rPr>
          <w:rFonts w:ascii="Inter" w:hAnsi="Inter"/>
          <w:b w:val="0"/>
          <w:i w:val="0"/>
          <w:color w:val="292B29"/>
          <w:sz w:val="24"/>
        </w:rPr>
        <w:t>Planting beds shall be maintained with mulch, pine straw, decorative rock, approved ground cover, or other appropriate treatment so that they present a finished and maintained appearance.</w:t>
      </w:r>
    </w:p>
    <w:p>
      <w:pPr>
        <w:spacing w:after="100" w:line="259" w:lineRule="auto"/>
        <w:ind w:left="317" w:hanging="202"/>
        <w:jc w:val="both"/>
      </w:pPr>
      <w:r>
        <w:rPr>
          <w:rFonts w:ascii="Inter" w:hAnsi="Inter"/>
          <w:b/>
          <w:i w:val="0"/>
          <w:color w:val="C46F3C"/>
          <w:sz w:val="24"/>
        </w:rPr>
        <w:t>•  Mulch, pine straw, rock, or similar materials shall be maintained at a sufficient depth and condition to provide reasonable soil coverage and weed control.</w:t>
      </w:r>
    </w:p>
    <w:p>
      <w:pPr>
        <w:spacing w:after="100" w:line="259" w:lineRule="auto"/>
        <w:ind w:left="317" w:hanging="202"/>
        <w:jc w:val="both"/>
      </w:pPr>
      <w:r>
        <w:rPr>
          <w:rFonts w:ascii="Inter" w:hAnsi="Inter"/>
          <w:b/>
          <w:i w:val="0"/>
          <w:color w:val="C46F3C"/>
          <w:sz w:val="24"/>
        </w:rPr>
        <w:t>•  Ground-cover materials and bed edges shall be maintained as reasonably necessary to prevent substantial washout, thinning, or an unkempt appearance.</w:t>
      </w:r>
    </w:p>
    <w:p>
      <w:pPr>
        <w:spacing w:after="100" w:line="259" w:lineRule="auto"/>
        <w:ind w:left="317" w:hanging="202"/>
        <w:jc w:val="both"/>
      </w:pPr>
      <w:r>
        <w:rPr>
          <w:rFonts w:ascii="Inter" w:hAnsi="Inter"/>
          <w:b/>
          <w:i w:val="0"/>
          <w:color w:val="C46F3C"/>
          <w:sz w:val="24"/>
        </w:rPr>
        <w:t>•  Dead, diseased, or invasive plant material shall be removed or addressed within a reasonable period after notice, and resulting bare areas should be restored or covered as appropriate.</w:t>
      </w:r>
    </w:p>
    <w:p>
      <w:pPr>
        <w:spacing w:before="260" w:after="100"/>
        <w:pBdr>
          <w:bottom w:val="single" w:sz="5" w:space="4" w:color="E6E1D8"/>
        </w:pBdr>
      </w:pPr>
      <w:r>
        <w:rPr>
          <w:rFonts w:ascii="Inter" w:hAnsi="Inter" w:eastAsia="Inter"/>
          <w:b/>
          <w:i w:val="0"/>
          <w:color w:val="C46F3C"/>
          <w:sz w:val="28"/>
        </w:rPr>
        <w:t xml:space="preserve">08  </w:t>
      </w:r>
      <w:r>
        <w:rPr>
          <w:rFonts w:ascii="Inter" w:hAnsi="Inter" w:eastAsia="Inter"/>
          <w:b/>
          <w:i w:val="0"/>
          <w:color w:val="24483B"/>
          <w:sz w:val="28"/>
        </w:rPr>
        <w:t>RELATIONSHIP TO OTHER ASSOCIATION LEGAL DOCUMENTS</w:t>
      </w:r>
    </w:p>
    <w:p>
      <w:pPr>
        <w:spacing w:after="100" w:line="259" w:lineRule="auto"/>
        <w:jc w:val="both"/>
      </w:pPr>
      <w:r>
        <w:rPr>
          <w:rFonts w:ascii="Inter" w:hAnsi="Inter" w:eastAsia="Inter"/>
          <w:b w:val="0"/>
          <w:i w:val="0"/>
          <w:color w:val="292B29"/>
          <w:sz w:val="24"/>
        </w:rPr>
        <w:t>These Standards implement and define the Community-Wide Standard referenced in Declaration §7.A, §7.D, and §9.Q, and are enforced under the Association's Compliance and Violation Enforcement Policy (Courtesy Notice, Second Notice, and Fine Notice) and Fine Schedule Resolution. As provided in Declaration §7.D, the Board's application of these Standards may vary based on circumstances and season without constituting a waiver of the Board's right to enforce them, and no individual decision or interpretation under these Standards shall constitute binding precedent for future decisions.</w:t>
      </w:r>
    </w:p>
    <w:p>
      <w:pPr>
        <w:spacing w:before="260" w:after="100"/>
        <w:pBdr>
          <w:bottom w:val="single" w:sz="5" w:space="4" w:color="E6E1D8"/>
        </w:pBdr>
      </w:pPr>
      <w:r>
        <w:rPr>
          <w:rFonts w:ascii="Inter" w:hAnsi="Inter" w:eastAsia="Inter"/>
          <w:b/>
          <w:i w:val="0"/>
          <w:color w:val="C46F3C"/>
          <w:sz w:val="28"/>
        </w:rPr>
        <w:t xml:space="preserve">09  </w:t>
      </w:r>
      <w:r>
        <w:rPr>
          <w:rFonts w:ascii="Inter" w:hAnsi="Inter" w:eastAsia="Inter"/>
          <w:b/>
          <w:i w:val="0"/>
          <w:color w:val="24483B"/>
          <w:sz w:val="28"/>
        </w:rPr>
        <w:t>AMENDMENT</w:t>
      </w:r>
    </w:p>
    <w:p>
      <w:pPr>
        <w:spacing w:after="100" w:line="259" w:lineRule="auto"/>
        <w:jc w:val="both"/>
      </w:pPr>
      <w:r>
        <w:rPr>
          <w:rFonts w:ascii="Inter" w:hAnsi="Inter"/>
          <w:b w:val="0"/>
          <w:i w:val="0"/>
          <w:color w:val="292B29"/>
          <w:sz w:val="24"/>
        </w:rPr>
        <w:t>The Board may amend these Standards by lawful Board action to the extent authorized by the governing documents and applicable law. Nothing in these Standards limits any Member voting or amendment rights provided by the Declaration, including rights applicable to Community-Wide Standards under Declaration §8.C.</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